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6B" w:rsidRDefault="00247CD4">
      <w:pPr>
        <w:pStyle w:val="SectionHeading"/>
        <w:spacing w:before="0" w:after="0" w:line="0" w:lineRule="atLeast"/>
        <w:ind w:firstLine="0"/>
        <w:jc w:val="center"/>
        <w:rPr>
          <w:rFonts w:cs="Arial"/>
          <w:sz w:val="28"/>
        </w:rPr>
      </w:pPr>
      <w:bookmarkStart w:id="0" w:name="_GoBack"/>
      <w:bookmarkEnd w:id="0"/>
      <w:r>
        <w:rPr>
          <w:rFonts w:cs="Arial"/>
          <w:i/>
          <w:sz w:val="28"/>
          <w:szCs w:val="28"/>
        </w:rPr>
        <w:t>South Bay Consortium for Adult Education</w:t>
      </w:r>
    </w:p>
    <w:p w:rsidR="0086276B" w:rsidRDefault="00094427">
      <w:pPr>
        <w:pStyle w:val="SectionHeading"/>
        <w:spacing w:before="0" w:after="0" w:line="0" w:lineRule="atLeast"/>
        <w:ind w:firstLine="0"/>
        <w:jc w:val="center"/>
        <w:rPr>
          <w:rFonts w:cs="Arial"/>
          <w:sz w:val="28"/>
        </w:rPr>
      </w:pPr>
      <w:r>
        <w:rPr>
          <w:rFonts w:cs="Arial"/>
          <w:sz w:val="28"/>
        </w:rPr>
        <w:t>Steering Committee</w:t>
      </w:r>
      <w:r w:rsidR="0086276B">
        <w:rPr>
          <w:rFonts w:cs="Arial"/>
          <w:sz w:val="28"/>
        </w:rPr>
        <w:t xml:space="preserve"> Charter</w:t>
      </w:r>
    </w:p>
    <w:p w:rsidR="004042D6" w:rsidRPr="001D3F3E" w:rsidRDefault="00077AA1" w:rsidP="004042D6">
      <w:pPr>
        <w:pStyle w:val="SectionHeading"/>
        <w:spacing w:before="120" w:after="0" w:line="0" w:lineRule="atLeast"/>
        <w:ind w:firstLine="0"/>
        <w:jc w:val="center"/>
        <w:rPr>
          <w:rFonts w:cs="Arial"/>
          <w:b w:val="0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9A5">
        <w:rPr>
          <w:rFonts w:cs="Arial"/>
          <w:outline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D3F3E">
        <w:rPr>
          <w:rFonts w:cs="Arial"/>
          <w:b w:val="0"/>
          <w:outline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Amended, </w:t>
      </w:r>
      <w:r w:rsidR="00424B45" w:rsidRPr="001D3F3E">
        <w:rPr>
          <w:rFonts w:cs="Arial"/>
          <w:b w:val="0"/>
          <w:outline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22</w:t>
      </w:r>
      <w:r w:rsidRPr="001D3F3E">
        <w:rPr>
          <w:rFonts w:cs="Arial"/>
          <w:b w:val="0"/>
          <w:outline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2017</w:t>
      </w:r>
    </w:p>
    <w:p w:rsidR="0086276B" w:rsidRDefault="0086276B">
      <w:pPr>
        <w:rPr>
          <w:rFonts w:ascii="Arial" w:hAnsi="Arial" w:cs="Arial"/>
          <w:sz w:val="20"/>
        </w:rPr>
      </w:pPr>
    </w:p>
    <w:p w:rsidR="00247CD4" w:rsidRDefault="00247CD4" w:rsidP="00247CD4">
      <w:pPr>
        <w:pStyle w:val="Heading1"/>
        <w:numPr>
          <w:ilvl w:val="0"/>
          <w:numId w:val="0"/>
        </w:numPr>
        <w:shd w:val="pct20" w:color="auto" w:fill="auto"/>
        <w:spacing w:before="0" w:after="0"/>
        <w:ind w:left="360" w:hanging="360"/>
        <w:rPr>
          <w:sz w:val="28"/>
        </w:rPr>
      </w:pPr>
      <w:r>
        <w:rPr>
          <w:sz w:val="28"/>
          <w:shd w:val="pct20" w:color="auto" w:fill="auto"/>
        </w:rPr>
        <w:t>Guiding Principles</w:t>
      </w:r>
      <w:r>
        <w:rPr>
          <w:sz w:val="28"/>
        </w:rPr>
        <w:t xml:space="preserve"> </w:t>
      </w:r>
    </w:p>
    <w:p w:rsidR="00247CD4" w:rsidRDefault="00247CD4">
      <w:pPr>
        <w:rPr>
          <w:rFonts w:ascii="Arial" w:hAnsi="Arial" w:cs="Arial"/>
          <w:sz w:val="20"/>
        </w:rPr>
      </w:pPr>
    </w:p>
    <w:p w:rsidR="00F87B21" w:rsidRDefault="00920700" w:rsidP="00231C7E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Introduction:  </w:t>
      </w:r>
      <w:r w:rsidR="00247CD4" w:rsidRPr="00231C7E">
        <w:rPr>
          <w:rFonts w:ascii="Arial" w:hAnsi="Arial" w:cs="Arial"/>
          <w:color w:val="000000"/>
          <w:sz w:val="20"/>
        </w:rPr>
        <w:t xml:space="preserve">Established by the AB86 Legislation of </w:t>
      </w:r>
      <w:r w:rsidR="00D66137" w:rsidRPr="00231C7E">
        <w:rPr>
          <w:rFonts w:ascii="Arial" w:hAnsi="Arial" w:cs="Arial"/>
          <w:color w:val="000000"/>
          <w:sz w:val="20"/>
        </w:rPr>
        <w:t>June</w:t>
      </w:r>
      <w:r w:rsidR="00247CD4" w:rsidRPr="00231C7E">
        <w:rPr>
          <w:rFonts w:ascii="Arial" w:hAnsi="Arial" w:cs="Arial"/>
          <w:color w:val="000000"/>
          <w:sz w:val="20"/>
        </w:rPr>
        <w:t xml:space="preserve"> 2013, t</w:t>
      </w:r>
      <w:r w:rsidR="00BE40FB" w:rsidRPr="00231C7E">
        <w:rPr>
          <w:rFonts w:ascii="Arial" w:hAnsi="Arial" w:cs="Arial"/>
          <w:color w:val="000000"/>
          <w:sz w:val="20"/>
        </w:rPr>
        <w:t>he five adult schools</w:t>
      </w:r>
      <w:r w:rsidR="00247CD4" w:rsidRPr="00231C7E">
        <w:rPr>
          <w:rFonts w:ascii="Arial" w:hAnsi="Arial" w:cs="Arial"/>
          <w:color w:val="000000"/>
          <w:sz w:val="20"/>
        </w:rPr>
        <w:t xml:space="preserve"> </w:t>
      </w:r>
      <w:r w:rsidR="00BE40FB" w:rsidRPr="00231C7E">
        <w:rPr>
          <w:rFonts w:ascii="Arial" w:hAnsi="Arial" w:cs="Arial"/>
          <w:color w:val="000000"/>
          <w:sz w:val="20"/>
        </w:rPr>
        <w:t xml:space="preserve">(Campbell Adult and Community Education; East Side Adult Education; Milpitas Adult Education; Santa Clara Adult Education; and Silicon Valley Adult Education) and two community college districts </w:t>
      </w:r>
      <w:r w:rsidR="00BB3506" w:rsidRPr="00231C7E">
        <w:rPr>
          <w:rFonts w:ascii="Arial" w:hAnsi="Arial" w:cs="Arial"/>
          <w:color w:val="000000"/>
          <w:sz w:val="20"/>
        </w:rPr>
        <w:t>(San Jose-Evergreen Community College District; and West Valley-Mission Community College District) joined to form the South Bay Consortium for Adult Educ</w:t>
      </w:r>
      <w:r w:rsidR="00227E08" w:rsidRPr="00231C7E">
        <w:rPr>
          <w:rFonts w:ascii="Arial" w:hAnsi="Arial" w:cs="Arial"/>
          <w:color w:val="000000"/>
          <w:sz w:val="20"/>
        </w:rPr>
        <w:t xml:space="preserve">ation.  </w:t>
      </w:r>
      <w:r w:rsidR="00231C7E" w:rsidRPr="00231C7E">
        <w:rPr>
          <w:rFonts w:ascii="Arial" w:hAnsi="Arial" w:cs="Arial"/>
          <w:color w:val="000000"/>
          <w:sz w:val="20"/>
        </w:rPr>
        <w:t xml:space="preserve">The consortium’s shared vision is to serve the region’s adult learner needs, including adult education pathways into careers or postsecondary education.  </w:t>
      </w:r>
      <w:r w:rsidR="00227E08" w:rsidRPr="00231C7E">
        <w:rPr>
          <w:rFonts w:ascii="Arial" w:hAnsi="Arial" w:cs="Arial"/>
          <w:color w:val="000000"/>
          <w:sz w:val="20"/>
        </w:rPr>
        <w:t>The consortium produced</w:t>
      </w:r>
      <w:r w:rsidR="00BB3506" w:rsidRPr="00231C7E">
        <w:rPr>
          <w:rFonts w:ascii="Arial" w:hAnsi="Arial" w:cs="Arial"/>
          <w:color w:val="000000"/>
          <w:sz w:val="20"/>
        </w:rPr>
        <w:t xml:space="preserve"> a compre</w:t>
      </w:r>
      <w:r w:rsidR="00227E08" w:rsidRPr="00231C7E">
        <w:rPr>
          <w:rFonts w:ascii="Arial" w:hAnsi="Arial" w:cs="Arial"/>
          <w:color w:val="000000"/>
          <w:sz w:val="20"/>
        </w:rPr>
        <w:t xml:space="preserve">hensive and ambitious plan, delivered to the state on March 1, 2015, to document the need for adult education in our region, and to address program gaps and </w:t>
      </w:r>
      <w:r w:rsidR="00231C7E" w:rsidRPr="00231C7E">
        <w:rPr>
          <w:rFonts w:ascii="Arial" w:hAnsi="Arial" w:cs="Arial"/>
          <w:color w:val="000000"/>
          <w:sz w:val="20"/>
        </w:rPr>
        <w:t>to identify</w:t>
      </w:r>
      <w:r w:rsidR="00227E08" w:rsidRPr="00231C7E">
        <w:rPr>
          <w:rFonts w:ascii="Arial" w:hAnsi="Arial" w:cs="Arial"/>
          <w:color w:val="000000"/>
          <w:sz w:val="20"/>
        </w:rPr>
        <w:t xml:space="preserve"> instructional models and practices to accelerate the learning of adults (including those adults with disabilities) acquiring English and basic skills to achieve college and career readiness.  </w:t>
      </w:r>
    </w:p>
    <w:p w:rsidR="00F87B21" w:rsidRDefault="00F87B21" w:rsidP="00231C7E">
      <w:pPr>
        <w:ind w:left="360"/>
        <w:rPr>
          <w:rFonts w:ascii="Arial" w:hAnsi="Arial" w:cs="Arial"/>
          <w:color w:val="000000"/>
          <w:sz w:val="20"/>
        </w:rPr>
      </w:pPr>
    </w:p>
    <w:p w:rsidR="00BC27FA" w:rsidRDefault="00497087" w:rsidP="00231C7E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Steering Committee formally adopted these Guiding Principles, both </w:t>
      </w:r>
      <w:r w:rsidR="00920700">
        <w:rPr>
          <w:rFonts w:ascii="Arial" w:hAnsi="Arial" w:cs="Arial"/>
          <w:color w:val="000000"/>
          <w:sz w:val="20"/>
        </w:rPr>
        <w:t>f</w:t>
      </w:r>
      <w:r w:rsidR="00231C7E" w:rsidRPr="00231C7E">
        <w:rPr>
          <w:rFonts w:ascii="Arial" w:hAnsi="Arial" w:cs="Arial"/>
          <w:color w:val="000000"/>
          <w:sz w:val="20"/>
        </w:rPr>
        <w:t xml:space="preserve">or the planning process, and ongoing as the consortium members work together </w:t>
      </w:r>
      <w:r>
        <w:rPr>
          <w:rFonts w:ascii="Arial" w:hAnsi="Arial" w:cs="Arial"/>
          <w:color w:val="000000"/>
          <w:sz w:val="20"/>
        </w:rPr>
        <w:t xml:space="preserve">to use the Adult Education Block Grant funding to implement the South Bay Consortium for Adult Education’s </w:t>
      </w:r>
      <w:r w:rsidR="00E421BA">
        <w:rPr>
          <w:rFonts w:ascii="Arial" w:hAnsi="Arial" w:cs="Arial"/>
          <w:color w:val="000000"/>
          <w:sz w:val="20"/>
        </w:rPr>
        <w:t>three-</w:t>
      </w:r>
      <w:r>
        <w:rPr>
          <w:rFonts w:ascii="Arial" w:hAnsi="Arial" w:cs="Arial"/>
          <w:color w:val="000000"/>
          <w:sz w:val="20"/>
        </w:rPr>
        <w:t xml:space="preserve">year plan. </w:t>
      </w:r>
      <w:r w:rsidR="00BC27FA">
        <w:rPr>
          <w:rFonts w:ascii="Arial" w:hAnsi="Arial" w:cs="Arial"/>
          <w:color w:val="000000"/>
          <w:sz w:val="20"/>
        </w:rPr>
        <w:t xml:space="preserve"> </w:t>
      </w:r>
    </w:p>
    <w:p w:rsidR="00BC27FA" w:rsidRDefault="00BC27FA" w:rsidP="00231C7E">
      <w:pPr>
        <w:ind w:left="360"/>
        <w:rPr>
          <w:rFonts w:ascii="Arial" w:hAnsi="Arial" w:cs="Arial"/>
          <w:color w:val="000000"/>
          <w:sz w:val="20"/>
        </w:rPr>
      </w:pPr>
    </w:p>
    <w:p w:rsidR="00497087" w:rsidRDefault="00BC27FA" w:rsidP="00231C7E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Our Guiding Principles are to:</w:t>
      </w:r>
    </w:p>
    <w:p w:rsidR="00EF22B8" w:rsidRDefault="00EF22B8" w:rsidP="00231C7E">
      <w:pPr>
        <w:ind w:left="360"/>
        <w:rPr>
          <w:rFonts w:ascii="Arial" w:hAnsi="Arial" w:cs="Arial"/>
          <w:color w:val="000000"/>
          <w:sz w:val="20"/>
        </w:rPr>
      </w:pPr>
    </w:p>
    <w:p w:rsidR="00DD26C5" w:rsidRPr="00BC27FA" w:rsidRDefault="00DD26C5" w:rsidP="00DD26C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 w:rsidRPr="00BC27FA">
        <w:rPr>
          <w:rFonts w:ascii="Arial" w:hAnsi="Arial" w:cs="Arial"/>
          <w:color w:val="000000"/>
          <w:sz w:val="20"/>
        </w:rPr>
        <w:t xml:space="preserve">focus on the </w:t>
      </w:r>
      <w:r w:rsidRPr="00C62F94">
        <w:rPr>
          <w:rFonts w:ascii="Arial" w:hAnsi="Arial" w:cs="Arial"/>
          <w:b/>
          <w:i/>
          <w:color w:val="000000"/>
          <w:sz w:val="20"/>
          <w:u w:val="single"/>
        </w:rPr>
        <w:t xml:space="preserve">needs of adult </w:t>
      </w:r>
      <w:r>
        <w:rPr>
          <w:rFonts w:ascii="Arial" w:hAnsi="Arial" w:cs="Arial"/>
          <w:b/>
          <w:i/>
          <w:color w:val="000000"/>
          <w:sz w:val="20"/>
          <w:u w:val="single"/>
        </w:rPr>
        <w:t xml:space="preserve">education students </w:t>
      </w:r>
      <w:r w:rsidRPr="00C62F94">
        <w:rPr>
          <w:rFonts w:ascii="Arial" w:hAnsi="Arial" w:cs="Arial"/>
          <w:b/>
          <w:i/>
          <w:color w:val="000000"/>
          <w:sz w:val="20"/>
          <w:u w:val="single"/>
        </w:rPr>
        <w:t>first</w:t>
      </w:r>
      <w:r w:rsidRPr="00BC27FA">
        <w:rPr>
          <w:rFonts w:ascii="Arial" w:hAnsi="Arial" w:cs="Arial"/>
          <w:color w:val="000000"/>
          <w:sz w:val="20"/>
        </w:rPr>
        <w:t xml:space="preserve"> </w:t>
      </w:r>
    </w:p>
    <w:p w:rsidR="00054942" w:rsidRPr="00BC27FA" w:rsidRDefault="00497087" w:rsidP="00BC27FA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 w:rsidRPr="00BC27FA">
        <w:rPr>
          <w:rFonts w:ascii="Arial" w:hAnsi="Arial" w:cs="Arial"/>
          <w:color w:val="000000"/>
          <w:sz w:val="20"/>
        </w:rPr>
        <w:t>work with</w:t>
      </w:r>
      <w:r w:rsidR="00BC27FA">
        <w:rPr>
          <w:rFonts w:ascii="Arial" w:hAnsi="Arial" w:cs="Arial"/>
          <w:color w:val="000000"/>
          <w:sz w:val="20"/>
        </w:rPr>
        <w:t xml:space="preserve"> </w:t>
      </w:r>
      <w:r w:rsidR="00231C7E" w:rsidRPr="00C62F94">
        <w:rPr>
          <w:rFonts w:ascii="Arial" w:hAnsi="Arial" w:cs="Arial"/>
          <w:b/>
          <w:i/>
          <w:color w:val="000000"/>
          <w:sz w:val="20"/>
          <w:u w:val="single"/>
        </w:rPr>
        <w:t>transparency</w:t>
      </w:r>
      <w:r w:rsidR="00054942" w:rsidRPr="00C62F94">
        <w:rPr>
          <w:rFonts w:ascii="Arial" w:hAnsi="Arial" w:cs="Arial"/>
          <w:b/>
          <w:i/>
          <w:color w:val="000000"/>
          <w:sz w:val="20"/>
          <w:u w:val="single"/>
        </w:rPr>
        <w:t xml:space="preserve"> </w:t>
      </w:r>
      <w:r w:rsidR="00BC27FA" w:rsidRPr="00C62F94">
        <w:rPr>
          <w:rFonts w:ascii="Arial" w:hAnsi="Arial" w:cs="Arial"/>
          <w:b/>
          <w:i/>
          <w:color w:val="000000"/>
          <w:sz w:val="20"/>
          <w:u w:val="single"/>
        </w:rPr>
        <w:t>and inclusion</w:t>
      </w:r>
      <w:r w:rsidR="00BC27FA" w:rsidRPr="00BC27FA">
        <w:rPr>
          <w:rFonts w:ascii="Arial" w:hAnsi="Arial" w:cs="Arial"/>
          <w:color w:val="000000"/>
          <w:sz w:val="20"/>
        </w:rPr>
        <w:t xml:space="preserve"> </w:t>
      </w:r>
      <w:r w:rsidR="00054942" w:rsidRPr="00BC27FA">
        <w:rPr>
          <w:rFonts w:ascii="Arial" w:hAnsi="Arial" w:cs="Arial"/>
          <w:color w:val="000000"/>
          <w:sz w:val="20"/>
        </w:rPr>
        <w:t>with all stakeholders</w:t>
      </w:r>
    </w:p>
    <w:p w:rsidR="00BC27FA" w:rsidRPr="00BC27FA" w:rsidRDefault="00BC27FA" w:rsidP="00BC27FA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="00054942" w:rsidRPr="00BC27FA">
        <w:rPr>
          <w:rFonts w:ascii="Arial" w:hAnsi="Arial" w:cs="Arial"/>
          <w:color w:val="000000"/>
          <w:sz w:val="20"/>
        </w:rPr>
        <w:t xml:space="preserve">mbrace </w:t>
      </w:r>
      <w:r w:rsidR="00054942" w:rsidRPr="00C62F94">
        <w:rPr>
          <w:rFonts w:ascii="Arial" w:hAnsi="Arial" w:cs="Arial"/>
          <w:b/>
          <w:i/>
          <w:color w:val="000000"/>
          <w:sz w:val="20"/>
          <w:u w:val="single"/>
        </w:rPr>
        <w:t>collaboration and partnership</w:t>
      </w:r>
      <w:r w:rsidR="00054942" w:rsidRPr="00BC27FA">
        <w:rPr>
          <w:rFonts w:ascii="Arial" w:hAnsi="Arial" w:cs="Arial"/>
          <w:color w:val="000000"/>
          <w:sz w:val="20"/>
          <w:u w:val="single"/>
        </w:rPr>
        <w:t xml:space="preserve"> </w:t>
      </w:r>
      <w:r w:rsidR="00054942" w:rsidRPr="00BC27FA">
        <w:rPr>
          <w:rFonts w:ascii="Arial" w:hAnsi="Arial" w:cs="Arial"/>
          <w:color w:val="000000"/>
          <w:sz w:val="20"/>
        </w:rPr>
        <w:t xml:space="preserve">to have a positive collective impact on our </w:t>
      </w:r>
      <w:r w:rsidRPr="00BC27FA">
        <w:rPr>
          <w:rFonts w:ascii="Arial" w:hAnsi="Arial" w:cs="Arial"/>
          <w:color w:val="000000"/>
          <w:sz w:val="20"/>
        </w:rPr>
        <w:t xml:space="preserve">region </w:t>
      </w:r>
    </w:p>
    <w:p w:rsidR="00054942" w:rsidRPr="00BC27FA" w:rsidRDefault="00BC27FA" w:rsidP="00BC27FA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Pr="00BC27FA">
        <w:rPr>
          <w:rFonts w:ascii="Arial" w:hAnsi="Arial" w:cs="Arial"/>
          <w:color w:val="000000"/>
          <w:sz w:val="20"/>
        </w:rPr>
        <w:t>xplore</w:t>
      </w:r>
      <w:r w:rsidR="00F87B21" w:rsidRPr="00BC27FA">
        <w:rPr>
          <w:rFonts w:ascii="Arial" w:hAnsi="Arial" w:cs="Arial"/>
          <w:color w:val="000000"/>
          <w:sz w:val="20"/>
        </w:rPr>
        <w:t xml:space="preserve"> </w:t>
      </w:r>
      <w:r w:rsidR="00F87B21" w:rsidRPr="00C62F94">
        <w:rPr>
          <w:rFonts w:ascii="Arial" w:hAnsi="Arial" w:cs="Arial"/>
          <w:b/>
          <w:i/>
          <w:color w:val="000000"/>
          <w:sz w:val="20"/>
          <w:u w:val="single"/>
        </w:rPr>
        <w:t>expansion and innovation</w:t>
      </w:r>
      <w:r w:rsidR="00F87B21" w:rsidRPr="00BC27FA">
        <w:rPr>
          <w:rFonts w:ascii="Arial" w:hAnsi="Arial" w:cs="Arial"/>
          <w:color w:val="000000"/>
          <w:sz w:val="20"/>
        </w:rPr>
        <w:t xml:space="preserve"> in adult education </w:t>
      </w:r>
      <w:r w:rsidR="00497087" w:rsidRPr="00BC27FA">
        <w:rPr>
          <w:rFonts w:ascii="Arial" w:hAnsi="Arial" w:cs="Arial"/>
          <w:color w:val="000000"/>
          <w:sz w:val="20"/>
        </w:rPr>
        <w:t>service</w:t>
      </w:r>
      <w:r w:rsidR="00054942" w:rsidRPr="00BC27FA">
        <w:rPr>
          <w:rFonts w:ascii="Arial" w:hAnsi="Arial" w:cs="Arial"/>
          <w:color w:val="000000"/>
          <w:sz w:val="20"/>
        </w:rPr>
        <w:t>s</w:t>
      </w:r>
      <w:r w:rsidR="00497087" w:rsidRPr="00BC27FA">
        <w:rPr>
          <w:rFonts w:ascii="Arial" w:hAnsi="Arial" w:cs="Arial"/>
          <w:color w:val="000000"/>
          <w:sz w:val="20"/>
        </w:rPr>
        <w:t xml:space="preserve"> </w:t>
      </w:r>
      <w:r w:rsidR="00F87B21" w:rsidRPr="00BC27FA">
        <w:rPr>
          <w:rFonts w:ascii="Arial" w:hAnsi="Arial" w:cs="Arial"/>
          <w:color w:val="000000"/>
          <w:sz w:val="20"/>
        </w:rPr>
        <w:t xml:space="preserve">in the region </w:t>
      </w:r>
    </w:p>
    <w:p w:rsidR="00F87B21" w:rsidRPr="00BC27FA" w:rsidRDefault="00BC27FA" w:rsidP="00BC27FA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054942" w:rsidRPr="00BC27FA">
        <w:rPr>
          <w:rFonts w:ascii="Arial" w:hAnsi="Arial" w:cs="Arial"/>
          <w:color w:val="000000"/>
          <w:sz w:val="20"/>
        </w:rPr>
        <w:t>eek</w:t>
      </w:r>
      <w:r w:rsidR="00F87B21" w:rsidRPr="00BC27FA">
        <w:rPr>
          <w:rFonts w:ascii="Arial" w:hAnsi="Arial" w:cs="Arial"/>
          <w:color w:val="000000"/>
          <w:sz w:val="20"/>
        </w:rPr>
        <w:t xml:space="preserve"> other </w:t>
      </w:r>
      <w:r w:rsidR="00054942" w:rsidRPr="00C62F94">
        <w:rPr>
          <w:rFonts w:ascii="Arial" w:hAnsi="Arial" w:cs="Arial"/>
          <w:b/>
          <w:i/>
          <w:color w:val="000000"/>
          <w:sz w:val="20"/>
          <w:u w:val="single"/>
        </w:rPr>
        <w:t xml:space="preserve">community </w:t>
      </w:r>
      <w:r w:rsidR="00F87B21" w:rsidRPr="00C62F94">
        <w:rPr>
          <w:rFonts w:ascii="Arial" w:hAnsi="Arial" w:cs="Arial"/>
          <w:b/>
          <w:i/>
          <w:color w:val="000000"/>
          <w:sz w:val="20"/>
          <w:u w:val="single"/>
        </w:rPr>
        <w:t xml:space="preserve">partnerships </w:t>
      </w:r>
      <w:r w:rsidRPr="00C62F94">
        <w:rPr>
          <w:rFonts w:ascii="Arial" w:hAnsi="Arial" w:cs="Arial"/>
          <w:b/>
          <w:i/>
          <w:color w:val="000000"/>
          <w:sz w:val="20"/>
          <w:u w:val="single"/>
        </w:rPr>
        <w:t>and connections</w:t>
      </w:r>
      <w:r>
        <w:rPr>
          <w:rFonts w:ascii="Arial" w:hAnsi="Arial" w:cs="Arial"/>
          <w:color w:val="000000"/>
          <w:sz w:val="20"/>
        </w:rPr>
        <w:t xml:space="preserve"> to leverage resources</w:t>
      </w:r>
      <w:r w:rsidR="00C62F94">
        <w:rPr>
          <w:rFonts w:ascii="Arial" w:hAnsi="Arial" w:cs="Arial"/>
          <w:color w:val="000000"/>
          <w:sz w:val="20"/>
        </w:rPr>
        <w:t xml:space="preserve"> and achieve better outcomes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920700" w:rsidRDefault="00BC27FA" w:rsidP="00BC27FA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</w:t>
      </w:r>
      <w:r w:rsidR="00054942" w:rsidRPr="00BC27FA">
        <w:rPr>
          <w:rFonts w:ascii="Arial" w:hAnsi="Arial" w:cs="Arial"/>
          <w:color w:val="000000"/>
          <w:sz w:val="20"/>
        </w:rPr>
        <w:t>ommit to</w:t>
      </w:r>
      <w:r w:rsidR="00497087" w:rsidRPr="00BC27FA">
        <w:rPr>
          <w:rFonts w:ascii="Arial" w:hAnsi="Arial" w:cs="Arial"/>
          <w:color w:val="000000"/>
          <w:sz w:val="20"/>
        </w:rPr>
        <w:t xml:space="preserve"> </w:t>
      </w:r>
      <w:r w:rsidR="00EF22B8">
        <w:rPr>
          <w:rFonts w:ascii="Arial" w:hAnsi="Arial" w:cs="Arial"/>
          <w:color w:val="000000"/>
          <w:sz w:val="20"/>
        </w:rPr>
        <w:t>ideas, decisions and practices</w:t>
      </w:r>
      <w:r w:rsidR="00920700" w:rsidRPr="00BC27FA">
        <w:rPr>
          <w:rFonts w:ascii="Arial" w:hAnsi="Arial" w:cs="Arial"/>
          <w:color w:val="000000"/>
          <w:sz w:val="20"/>
        </w:rPr>
        <w:t xml:space="preserve"> </w:t>
      </w:r>
      <w:r w:rsidR="00054942" w:rsidRPr="00BC27FA">
        <w:rPr>
          <w:rFonts w:ascii="Arial" w:hAnsi="Arial" w:cs="Arial"/>
          <w:color w:val="000000"/>
          <w:sz w:val="20"/>
        </w:rPr>
        <w:t xml:space="preserve">that </w:t>
      </w:r>
      <w:r w:rsidR="00054942" w:rsidRPr="00C62F94">
        <w:rPr>
          <w:rFonts w:ascii="Arial" w:hAnsi="Arial" w:cs="Arial"/>
          <w:b/>
          <w:i/>
          <w:color w:val="000000"/>
          <w:sz w:val="20"/>
          <w:u w:val="single"/>
        </w:rPr>
        <w:t xml:space="preserve">anticipate </w:t>
      </w:r>
      <w:r w:rsidRPr="00C62F94">
        <w:rPr>
          <w:rFonts w:ascii="Arial" w:hAnsi="Arial" w:cs="Arial"/>
          <w:b/>
          <w:i/>
          <w:color w:val="000000"/>
          <w:sz w:val="20"/>
          <w:u w:val="single"/>
        </w:rPr>
        <w:t xml:space="preserve">the </w:t>
      </w:r>
      <w:r w:rsidR="00920700" w:rsidRPr="00C62F94">
        <w:rPr>
          <w:rFonts w:ascii="Arial" w:hAnsi="Arial" w:cs="Arial"/>
          <w:b/>
          <w:i/>
          <w:color w:val="000000"/>
          <w:sz w:val="20"/>
          <w:u w:val="single"/>
        </w:rPr>
        <w:t>future</w:t>
      </w:r>
      <w:r w:rsidR="00920700" w:rsidRPr="00C62F94">
        <w:rPr>
          <w:rFonts w:ascii="Arial" w:hAnsi="Arial" w:cs="Arial"/>
          <w:b/>
          <w:color w:val="000000"/>
          <w:sz w:val="20"/>
        </w:rPr>
        <w:t xml:space="preserve"> </w:t>
      </w:r>
      <w:r w:rsidR="00920700" w:rsidRPr="00BC27FA">
        <w:rPr>
          <w:rFonts w:ascii="Arial" w:hAnsi="Arial" w:cs="Arial"/>
          <w:color w:val="000000"/>
          <w:sz w:val="20"/>
        </w:rPr>
        <w:t xml:space="preserve">needs </w:t>
      </w:r>
      <w:r>
        <w:rPr>
          <w:rFonts w:ascii="Arial" w:hAnsi="Arial" w:cs="Arial"/>
          <w:color w:val="000000"/>
          <w:sz w:val="20"/>
        </w:rPr>
        <w:t>for adult learners in our region</w:t>
      </w:r>
      <w:r w:rsidR="00EF22B8">
        <w:rPr>
          <w:rFonts w:ascii="Arial" w:hAnsi="Arial" w:cs="Arial"/>
          <w:color w:val="000000"/>
          <w:sz w:val="20"/>
        </w:rPr>
        <w:t>.</w:t>
      </w:r>
    </w:p>
    <w:p w:rsidR="00C62F94" w:rsidRPr="00BC27FA" w:rsidRDefault="00C62F94" w:rsidP="00C62F94">
      <w:pPr>
        <w:pStyle w:val="ListParagraph"/>
        <w:ind w:left="1080"/>
        <w:rPr>
          <w:rFonts w:ascii="Arial" w:hAnsi="Arial" w:cs="Arial"/>
          <w:color w:val="000000"/>
          <w:sz w:val="20"/>
        </w:rPr>
      </w:pPr>
    </w:p>
    <w:p w:rsidR="0086276B" w:rsidRDefault="0086276B">
      <w:pPr>
        <w:rPr>
          <w:rFonts w:ascii="Arial" w:hAnsi="Arial" w:cs="Arial"/>
          <w:sz w:val="20"/>
        </w:rPr>
      </w:pPr>
    </w:p>
    <w:p w:rsidR="0086276B" w:rsidRDefault="0086276B" w:rsidP="009C1C6A">
      <w:pPr>
        <w:pStyle w:val="Heading1"/>
        <w:numPr>
          <w:ilvl w:val="0"/>
          <w:numId w:val="9"/>
        </w:numPr>
        <w:shd w:val="pct20" w:color="auto" w:fill="auto"/>
        <w:spacing w:before="0" w:after="0"/>
        <w:rPr>
          <w:sz w:val="28"/>
        </w:rPr>
      </w:pPr>
      <w:bookmarkStart w:id="1" w:name="_Toc10618269"/>
      <w:r>
        <w:rPr>
          <w:sz w:val="28"/>
          <w:shd w:val="pct20" w:color="auto" w:fill="auto"/>
        </w:rPr>
        <w:t xml:space="preserve">Purpose of the </w:t>
      </w:r>
      <w:r w:rsidR="00094427">
        <w:rPr>
          <w:sz w:val="28"/>
          <w:shd w:val="pct20" w:color="auto" w:fill="auto"/>
        </w:rPr>
        <w:t>Steering Committee</w:t>
      </w:r>
      <w:r w:rsidR="00077AA1">
        <w:rPr>
          <w:sz w:val="28"/>
          <w:shd w:val="pct20" w:color="auto" w:fill="auto"/>
        </w:rPr>
        <w:t xml:space="preserve"> and SBCAE Decision-Making Process</w:t>
      </w:r>
      <w:r>
        <w:rPr>
          <w:sz w:val="28"/>
        </w:rPr>
        <w:t xml:space="preserve"> </w:t>
      </w:r>
      <w:bookmarkStart w:id="2" w:name="_Toc10618270"/>
      <w:bookmarkEnd w:id="1"/>
    </w:p>
    <w:p w:rsidR="00795770" w:rsidRDefault="00795770">
      <w:pPr>
        <w:pStyle w:val="Heading2"/>
        <w:rPr>
          <w:sz w:val="20"/>
        </w:rPr>
      </w:pPr>
    </w:p>
    <w:p w:rsidR="0086276B" w:rsidRDefault="0086276B">
      <w:pPr>
        <w:pStyle w:val="Heading2"/>
        <w:rPr>
          <w:sz w:val="20"/>
        </w:rPr>
      </w:pPr>
      <w:r>
        <w:rPr>
          <w:sz w:val="20"/>
        </w:rPr>
        <w:t>Primary Functions</w:t>
      </w:r>
      <w:bookmarkEnd w:id="2"/>
      <w:r w:rsidR="00077AA1">
        <w:rPr>
          <w:sz w:val="20"/>
        </w:rPr>
        <w:t xml:space="preserve"> of the Steering Committee and the </w:t>
      </w:r>
      <w:r w:rsidR="00BB797E">
        <w:rPr>
          <w:sz w:val="20"/>
        </w:rPr>
        <w:t>Consultation</w:t>
      </w:r>
      <w:r w:rsidR="00077AA1">
        <w:rPr>
          <w:sz w:val="20"/>
        </w:rPr>
        <w:t xml:space="preserve"> Council</w:t>
      </w:r>
    </w:p>
    <w:p w:rsidR="001D737E" w:rsidRDefault="00983879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 xml:space="preserve">The primary function of the </w:t>
      </w:r>
      <w:r w:rsidR="00BE40FB">
        <w:rPr>
          <w:rFonts w:cs="Arial"/>
          <w:color w:val="000000"/>
        </w:rPr>
        <w:t xml:space="preserve">South Bay Regional Consortium for Adult Education (SBCAE) </w:t>
      </w:r>
      <w:r>
        <w:rPr>
          <w:rFonts w:cs="Arial"/>
          <w:color w:val="000000"/>
        </w:rPr>
        <w:t>Steering Committee is</w:t>
      </w:r>
      <w:r w:rsidR="002875FA">
        <w:rPr>
          <w:rFonts w:cs="Arial"/>
          <w:color w:val="000000"/>
        </w:rPr>
        <w:t>, on an annual basis,</w:t>
      </w:r>
      <w:r>
        <w:rPr>
          <w:rFonts w:cs="Arial"/>
          <w:color w:val="000000"/>
        </w:rPr>
        <w:t xml:space="preserve"> to</w:t>
      </w:r>
      <w:r w:rsidR="00A3519B">
        <w:rPr>
          <w:rFonts w:cs="Arial"/>
          <w:color w:val="000000"/>
        </w:rPr>
        <w:t xml:space="preserve"> develop and approve the </w:t>
      </w:r>
      <w:r w:rsidR="00661526">
        <w:rPr>
          <w:rFonts w:cs="Arial"/>
          <w:color w:val="000000"/>
        </w:rPr>
        <w:t xml:space="preserve">annual priorities, (hereinafter called </w:t>
      </w:r>
      <w:r w:rsidR="00661526" w:rsidRPr="00874D84">
        <w:rPr>
          <w:rFonts w:cs="Arial"/>
          <w:b/>
          <w:i/>
          <w:color w:val="000000"/>
        </w:rPr>
        <w:t>annual activities</w:t>
      </w:r>
      <w:r w:rsidR="00661526">
        <w:rPr>
          <w:rFonts w:cs="Arial"/>
          <w:i/>
          <w:color w:val="000000"/>
        </w:rPr>
        <w:t xml:space="preserve">) </w:t>
      </w:r>
      <w:r w:rsidR="00661526">
        <w:rPr>
          <w:rFonts w:cs="Arial"/>
          <w:color w:val="000000"/>
        </w:rPr>
        <w:t xml:space="preserve">the related </w:t>
      </w:r>
      <w:r w:rsidR="00A3519B">
        <w:rPr>
          <w:rFonts w:cs="Arial"/>
          <w:color w:val="000000"/>
        </w:rPr>
        <w:t xml:space="preserve">fund </w:t>
      </w:r>
      <w:r w:rsidR="001D737E">
        <w:rPr>
          <w:rFonts w:cs="Arial"/>
          <w:color w:val="000000"/>
        </w:rPr>
        <w:t>distribution schedule for</w:t>
      </w:r>
      <w:r w:rsidR="00A3519B">
        <w:rPr>
          <w:rFonts w:cs="Arial"/>
          <w:color w:val="000000"/>
        </w:rPr>
        <w:t xml:space="preserve"> the </w:t>
      </w:r>
      <w:r w:rsidR="00705B88">
        <w:rPr>
          <w:rFonts w:cs="Arial"/>
          <w:color w:val="000000"/>
        </w:rPr>
        <w:t>funding awarded to the region from</w:t>
      </w:r>
      <w:r w:rsidR="00A3519B">
        <w:rPr>
          <w:rFonts w:cs="Arial"/>
          <w:color w:val="000000"/>
        </w:rPr>
        <w:t xml:space="preserve"> the </w:t>
      </w:r>
      <w:r w:rsidR="00705B88">
        <w:rPr>
          <w:rFonts w:cs="Arial"/>
          <w:color w:val="000000"/>
        </w:rPr>
        <w:t xml:space="preserve">state’s </w:t>
      </w:r>
      <w:r w:rsidR="00A3519B">
        <w:rPr>
          <w:rFonts w:cs="Arial"/>
          <w:color w:val="000000"/>
        </w:rPr>
        <w:t>Adult Education Block Grant</w:t>
      </w:r>
      <w:r w:rsidR="00705B88">
        <w:rPr>
          <w:rFonts w:cs="Arial"/>
          <w:color w:val="000000"/>
        </w:rPr>
        <w:t xml:space="preserve"> (AEBG)</w:t>
      </w:r>
      <w:r w:rsidR="00A3519B">
        <w:rPr>
          <w:rFonts w:cs="Arial"/>
          <w:color w:val="000000"/>
        </w:rPr>
        <w:t xml:space="preserve">.  </w:t>
      </w:r>
    </w:p>
    <w:p w:rsidR="0086276B" w:rsidRDefault="00A3519B">
      <w:pPr>
        <w:pStyle w:val="BodyTextIndent"/>
      </w:pPr>
      <w:r>
        <w:rPr>
          <w:rFonts w:cs="Arial"/>
          <w:color w:val="000000"/>
        </w:rPr>
        <w:t xml:space="preserve">The Steering Committee </w:t>
      </w:r>
      <w:r w:rsidR="00983879">
        <w:rPr>
          <w:rFonts w:cs="Arial"/>
          <w:color w:val="000000"/>
        </w:rPr>
        <w:t>take</w:t>
      </w:r>
      <w:r>
        <w:rPr>
          <w:rFonts w:cs="Arial"/>
          <w:color w:val="000000"/>
        </w:rPr>
        <w:t>s</w:t>
      </w:r>
      <w:r w:rsidR="00983879">
        <w:rPr>
          <w:rFonts w:cs="Arial"/>
          <w:color w:val="000000"/>
        </w:rPr>
        <w:t xml:space="preserve"> responsibility for the </w:t>
      </w:r>
      <w:r w:rsidR="00BE40FB">
        <w:rPr>
          <w:rFonts w:cs="Arial"/>
          <w:color w:val="000000"/>
        </w:rPr>
        <w:t xml:space="preserve">implementation of the services and activities, </w:t>
      </w:r>
      <w:r w:rsidR="00983879">
        <w:rPr>
          <w:rFonts w:cs="Arial"/>
          <w:color w:val="000000"/>
        </w:rPr>
        <w:t xml:space="preserve">and the achievement of </w:t>
      </w:r>
      <w:r w:rsidR="00BE40FB">
        <w:rPr>
          <w:rFonts w:cs="Arial"/>
          <w:color w:val="000000"/>
        </w:rPr>
        <w:t xml:space="preserve">the </w:t>
      </w:r>
      <w:r w:rsidR="00983879">
        <w:rPr>
          <w:rFonts w:cs="Arial"/>
          <w:color w:val="000000"/>
        </w:rPr>
        <w:t>outcomes</w:t>
      </w:r>
      <w:r w:rsidR="00BE40FB">
        <w:rPr>
          <w:rFonts w:cs="Arial"/>
          <w:color w:val="000000"/>
        </w:rPr>
        <w:t>, listed in the SBCAE</w:t>
      </w:r>
      <w:r w:rsidR="00705B88">
        <w:rPr>
          <w:rFonts w:cs="Arial"/>
          <w:color w:val="000000"/>
        </w:rPr>
        <w:t>’s</w:t>
      </w:r>
      <w:r w:rsidR="00983879">
        <w:rPr>
          <w:rFonts w:cs="Arial"/>
          <w:color w:val="000000"/>
        </w:rPr>
        <w:t xml:space="preserve"> </w:t>
      </w:r>
      <w:r w:rsidRPr="00A3519B">
        <w:rPr>
          <w:rFonts w:cs="Arial"/>
          <w:i/>
          <w:color w:val="000000"/>
        </w:rPr>
        <w:t>AB86 Adult Education Regional Comprehensive Plan, March 1, 2015</w:t>
      </w:r>
      <w:r>
        <w:rPr>
          <w:rFonts w:cs="Arial"/>
          <w:i/>
          <w:color w:val="000000"/>
        </w:rPr>
        <w:t xml:space="preserve"> </w:t>
      </w:r>
      <w:r w:rsidRPr="00705B88">
        <w:rPr>
          <w:rFonts w:cs="Arial"/>
          <w:color w:val="000000"/>
        </w:rPr>
        <w:t xml:space="preserve">(hereinafter referred to as </w:t>
      </w:r>
      <w:r w:rsidRPr="00661526">
        <w:rPr>
          <w:rFonts w:cs="Arial"/>
          <w:b/>
          <w:color w:val="000000"/>
        </w:rPr>
        <w:t>the Plan</w:t>
      </w:r>
      <w:r w:rsidRPr="00705B88">
        <w:rPr>
          <w:rFonts w:cs="Arial"/>
          <w:color w:val="000000"/>
        </w:rPr>
        <w:t>)</w:t>
      </w:r>
      <w:r w:rsidR="00983879" w:rsidRPr="00705B88">
        <w:rPr>
          <w:rFonts w:cs="Arial"/>
          <w:color w:val="000000"/>
        </w:rPr>
        <w:t>.</w:t>
      </w:r>
      <w:r w:rsidR="00983879">
        <w:rPr>
          <w:rFonts w:cs="Arial"/>
          <w:color w:val="000000"/>
        </w:rPr>
        <w:t xml:space="preserve"> The Steering Committee will monit</w:t>
      </w:r>
      <w:r w:rsidR="00705B88">
        <w:rPr>
          <w:rFonts w:cs="Arial"/>
          <w:color w:val="000000"/>
        </w:rPr>
        <w:t>or and review the P</w:t>
      </w:r>
      <w:r>
        <w:rPr>
          <w:rFonts w:cs="Arial"/>
          <w:color w:val="000000"/>
        </w:rPr>
        <w:t>lan’s implementation</w:t>
      </w:r>
      <w:r w:rsidR="00983879">
        <w:rPr>
          <w:rFonts w:cs="Arial"/>
          <w:color w:val="000000"/>
        </w:rPr>
        <w:t>, as well as provide oversight</w:t>
      </w:r>
      <w:r>
        <w:rPr>
          <w:rFonts w:cs="Arial"/>
          <w:color w:val="000000"/>
        </w:rPr>
        <w:t xml:space="preserve"> and certification of the Adult Education Block Grant (AEBG) </w:t>
      </w:r>
      <w:r w:rsidR="00983879">
        <w:rPr>
          <w:rFonts w:cs="Arial"/>
          <w:color w:val="000000"/>
        </w:rPr>
        <w:t>deliverable</w:t>
      </w:r>
      <w:r>
        <w:rPr>
          <w:rFonts w:cs="Arial"/>
          <w:color w:val="000000"/>
        </w:rPr>
        <w:t>s as defined by the AB104 Legislation, the Chancellor’s Office of the California Community Colleges and the California Department of Education</w:t>
      </w:r>
      <w:r w:rsidR="00983879">
        <w:rPr>
          <w:rFonts w:cs="Arial"/>
          <w:color w:val="000000"/>
        </w:rPr>
        <w:t>.</w:t>
      </w:r>
      <w:r w:rsidR="0086276B">
        <w:t xml:space="preserve"> </w:t>
      </w:r>
      <w:r w:rsidR="00077AA1">
        <w:t xml:space="preserve">The Steering Committee will confer with the SBCAE </w:t>
      </w:r>
      <w:r w:rsidR="00BB797E">
        <w:t>Consultation</w:t>
      </w:r>
      <w:r w:rsidR="00077AA1">
        <w:t xml:space="preserve"> Council before any decisions about </w:t>
      </w:r>
      <w:r w:rsidR="00BB797E">
        <w:t>a</w:t>
      </w:r>
      <w:r w:rsidR="00077AA1" w:rsidRPr="00077AA1">
        <w:rPr>
          <w:i/>
        </w:rPr>
        <w:t>nnual activities</w:t>
      </w:r>
      <w:r w:rsidR="00077AA1">
        <w:rPr>
          <w:i/>
        </w:rPr>
        <w:t xml:space="preserve"> </w:t>
      </w:r>
      <w:r w:rsidR="00077AA1">
        <w:t xml:space="preserve">and funding are presented to the public input. </w:t>
      </w:r>
    </w:p>
    <w:p w:rsidR="005332BA" w:rsidRDefault="00730AE5">
      <w:pPr>
        <w:pStyle w:val="BodyTextIndent"/>
      </w:pPr>
      <w:r>
        <w:t>In addition to the development of</w:t>
      </w:r>
      <w:r w:rsidR="002875FA">
        <w:t xml:space="preserve"> the</w:t>
      </w:r>
      <w:r>
        <w:t xml:space="preserve"> </w:t>
      </w:r>
      <w:r w:rsidRPr="005332BA">
        <w:rPr>
          <w:i/>
        </w:rPr>
        <w:t>annual activities</w:t>
      </w:r>
      <w:r>
        <w:t xml:space="preserve"> and outcomes aligned to the Plan, t</w:t>
      </w:r>
      <w:r w:rsidR="0086276B">
        <w:t xml:space="preserve">he </w:t>
      </w:r>
      <w:r w:rsidR="00094427">
        <w:t>Steering Committee</w:t>
      </w:r>
      <w:r w:rsidR="00661526">
        <w:t>, (and the Consortium Co-Chairs as directed by the Steering Committee) responds</w:t>
      </w:r>
      <w:r>
        <w:t xml:space="preserve"> to the critical need for expan</w:t>
      </w:r>
      <w:r w:rsidR="00874D84">
        <w:t xml:space="preserve">sion </w:t>
      </w:r>
      <w:r>
        <w:t xml:space="preserve">and innovation </w:t>
      </w:r>
      <w:r w:rsidR="00874D84">
        <w:t xml:space="preserve">in </w:t>
      </w:r>
      <w:r>
        <w:t>adult education in the reg</w:t>
      </w:r>
      <w:r w:rsidR="00661526">
        <w:t>ion by seeking other partnerships and resources to leverage</w:t>
      </w:r>
      <w:r w:rsidR="002875FA">
        <w:t xml:space="preserve">. The </w:t>
      </w:r>
      <w:r w:rsidR="00094427">
        <w:t>Steering Committee</w:t>
      </w:r>
      <w:r w:rsidR="0086276B">
        <w:t xml:space="preserve"> provides insight on long-term strategies in support of </w:t>
      </w:r>
      <w:r w:rsidR="00661526">
        <w:t xml:space="preserve">other </w:t>
      </w:r>
      <w:r w:rsidR="0086276B">
        <w:t xml:space="preserve">legislative mandates. Members of the </w:t>
      </w:r>
      <w:r w:rsidR="00094427">
        <w:t>Steering Committee</w:t>
      </w:r>
      <w:r w:rsidR="0086276B">
        <w:t xml:space="preserve"> ensure </w:t>
      </w:r>
      <w:r w:rsidR="00A3519B">
        <w:t>the needs and</w:t>
      </w:r>
      <w:r w:rsidR="0086276B">
        <w:t xml:space="preserve"> objectives</w:t>
      </w:r>
      <w:r w:rsidR="00874D84">
        <w:t xml:space="preserve"> </w:t>
      </w:r>
      <w:r w:rsidR="005332BA">
        <w:t xml:space="preserve">of the Plan </w:t>
      </w:r>
      <w:r w:rsidR="0086276B">
        <w:t xml:space="preserve">are </w:t>
      </w:r>
      <w:r w:rsidR="005332BA">
        <w:t>being adequately addressed</w:t>
      </w:r>
      <w:r w:rsidR="0086276B">
        <w:t>.</w:t>
      </w:r>
    </w:p>
    <w:p w:rsidR="0086276B" w:rsidRDefault="0086276B">
      <w:pPr>
        <w:pStyle w:val="BodyTextIndent"/>
      </w:pPr>
      <w:r>
        <w:t xml:space="preserve"> In </w:t>
      </w:r>
      <w:r w:rsidR="00D66137">
        <w:t>practice,</w:t>
      </w:r>
      <w:r>
        <w:t xml:space="preserve"> these responsibilities are carried out by performing the following functions:</w:t>
      </w:r>
    </w:p>
    <w:p w:rsidR="0086276B" w:rsidRDefault="0086276B">
      <w:pPr>
        <w:pStyle w:val="ListBullet"/>
      </w:pPr>
      <w:r>
        <w:t>Monit</w:t>
      </w:r>
      <w:r w:rsidR="005332BA">
        <w:t>or</w:t>
      </w:r>
      <w:r>
        <w:t xml:space="preserve"> and revi</w:t>
      </w:r>
      <w:r w:rsidR="005332BA">
        <w:t xml:space="preserve">ew </w:t>
      </w:r>
      <w:r w:rsidR="00730AE5">
        <w:t xml:space="preserve">the objectives of the </w:t>
      </w:r>
      <w:r w:rsidR="00730AE5" w:rsidRPr="00661526">
        <w:rPr>
          <w:i/>
        </w:rPr>
        <w:t>annual</w:t>
      </w:r>
      <w:r w:rsidR="002875FA" w:rsidRPr="00661526">
        <w:rPr>
          <w:i/>
        </w:rPr>
        <w:t xml:space="preserve"> activities</w:t>
      </w:r>
      <w:r w:rsidR="00730AE5" w:rsidRPr="00661526">
        <w:rPr>
          <w:i/>
        </w:rPr>
        <w:t xml:space="preserve"> </w:t>
      </w:r>
      <w:r>
        <w:t xml:space="preserve">at regular </w:t>
      </w:r>
      <w:r w:rsidR="00094427">
        <w:t>Steering Committee</w:t>
      </w:r>
      <w:r>
        <w:t xml:space="preserve"> meetings;</w:t>
      </w:r>
    </w:p>
    <w:p w:rsidR="005332BA" w:rsidRDefault="005332BA">
      <w:pPr>
        <w:pStyle w:val="ListBullet"/>
      </w:pPr>
      <w:r>
        <w:t>Give direction to the SBCAE’s Co-Chairs;</w:t>
      </w:r>
    </w:p>
    <w:p w:rsidR="0086276B" w:rsidRDefault="005332BA">
      <w:pPr>
        <w:pStyle w:val="ListBullet"/>
      </w:pPr>
      <w:r>
        <w:lastRenderedPageBreak/>
        <w:t>Provide</w:t>
      </w:r>
      <w:r w:rsidR="0086276B">
        <w:t xml:space="preserve"> </w:t>
      </w:r>
      <w:r w:rsidR="00730AE5">
        <w:t>guidance and as</w:t>
      </w:r>
      <w:r w:rsidR="002875FA">
        <w:t xml:space="preserve">sistance to the members and their staffs </w:t>
      </w:r>
      <w:r w:rsidR="0086276B">
        <w:t>when required;</w:t>
      </w:r>
    </w:p>
    <w:p w:rsidR="0086276B" w:rsidRDefault="002875FA">
      <w:pPr>
        <w:pStyle w:val="ListBullet"/>
      </w:pPr>
      <w:r>
        <w:t xml:space="preserve">Review the </w:t>
      </w:r>
      <w:r w:rsidRPr="00661526">
        <w:rPr>
          <w:i/>
        </w:rPr>
        <w:t>annual activities’</w:t>
      </w:r>
      <w:r>
        <w:t xml:space="preserve"> scope as data and evaluation suggest possible changes</w:t>
      </w:r>
      <w:r w:rsidR="0086276B">
        <w:t xml:space="preserve">, ensuring that scope </w:t>
      </w:r>
      <w:r w:rsidR="005332BA">
        <w:t>aligns with the Plan;</w:t>
      </w:r>
      <w:r>
        <w:t xml:space="preserve"> </w:t>
      </w:r>
    </w:p>
    <w:p w:rsidR="005332BA" w:rsidRDefault="002875FA">
      <w:pPr>
        <w:pStyle w:val="ListBullet"/>
      </w:pPr>
      <w:r>
        <w:t>Determine how the Plan is to be amended as relevant new information emerges;</w:t>
      </w:r>
      <w:r w:rsidR="005332BA" w:rsidRPr="005332BA">
        <w:t xml:space="preserve"> </w:t>
      </w:r>
    </w:p>
    <w:p w:rsidR="002875FA" w:rsidRDefault="005332BA">
      <w:pPr>
        <w:pStyle w:val="ListBullet"/>
      </w:pPr>
      <w:r>
        <w:t>Assure there is timely and appropriate contribution of SBCAE’s community partners and key stakeholder groups</w:t>
      </w:r>
      <w:r w:rsidR="00661526">
        <w:t xml:space="preserve"> to review decisions</w:t>
      </w:r>
      <w:r>
        <w:t>;</w:t>
      </w:r>
    </w:p>
    <w:p w:rsidR="0086276B" w:rsidRDefault="002875FA">
      <w:pPr>
        <w:pStyle w:val="ListBullet"/>
      </w:pPr>
      <w:r>
        <w:t>Resolve possible member conflicts</w:t>
      </w:r>
      <w:r w:rsidR="0086276B">
        <w:t>, reconciling differences of opinion and approach</w:t>
      </w:r>
      <w:r>
        <w:t xml:space="preserve"> through the agreed upon </w:t>
      </w:r>
      <w:r w:rsidR="00F87B21">
        <w:t xml:space="preserve">consensus </w:t>
      </w:r>
      <w:r>
        <w:t>decision-making process</w:t>
      </w:r>
      <w:r w:rsidR="0086276B">
        <w:t xml:space="preserve">; </w:t>
      </w:r>
    </w:p>
    <w:p w:rsidR="0086276B" w:rsidRDefault="002875FA">
      <w:pPr>
        <w:pStyle w:val="ListBullet"/>
      </w:pPr>
      <w:r>
        <w:t xml:space="preserve">Evaluate and provide formal acceptance of SBCAE </w:t>
      </w:r>
      <w:r w:rsidR="0086276B">
        <w:t>deliverables</w:t>
      </w:r>
      <w:r w:rsidR="00F87B21">
        <w:t xml:space="preserve"> as defined</w:t>
      </w:r>
      <w:r w:rsidR="00ED0AC2">
        <w:t xml:space="preserve"> by the state</w:t>
      </w:r>
      <w:r w:rsidR="0086276B">
        <w:t xml:space="preserve">. </w:t>
      </w:r>
    </w:p>
    <w:p w:rsidR="00E7377B" w:rsidRDefault="00ED0AC2">
      <w:pPr>
        <w:pStyle w:val="ListBullet"/>
      </w:pPr>
      <w:r>
        <w:t>E</w:t>
      </w:r>
      <w:r w:rsidR="00E7377B">
        <w:t xml:space="preserve">valuate progress </w:t>
      </w:r>
      <w:r>
        <w:t xml:space="preserve">annually </w:t>
      </w:r>
      <w:r w:rsidR="00E7377B">
        <w:t>toward the Plan’s objectives and determine the need for additions or amendments.</w:t>
      </w:r>
    </w:p>
    <w:p w:rsidR="00077AA1" w:rsidRDefault="00077AA1">
      <w:pPr>
        <w:pStyle w:val="ListBullet"/>
      </w:pPr>
      <w:r>
        <w:t xml:space="preserve">Meet formally </w:t>
      </w:r>
    </w:p>
    <w:p w:rsidR="0086276B" w:rsidRDefault="0086276B">
      <w:pPr>
        <w:pStyle w:val="Heading2"/>
        <w:rPr>
          <w:sz w:val="20"/>
        </w:rPr>
      </w:pPr>
      <w:bookmarkStart w:id="3" w:name="_Toc10618271"/>
    </w:p>
    <w:p w:rsidR="0086276B" w:rsidRDefault="0023637D">
      <w:pPr>
        <w:pStyle w:val="Heading2"/>
        <w:rPr>
          <w:sz w:val="20"/>
        </w:rPr>
      </w:pPr>
      <w:r>
        <w:rPr>
          <w:sz w:val="20"/>
        </w:rPr>
        <w:t>Decision-making</w:t>
      </w:r>
      <w:r w:rsidR="0086276B">
        <w:rPr>
          <w:sz w:val="20"/>
        </w:rPr>
        <w:t xml:space="preserve"> Responsibilities</w:t>
      </w:r>
      <w:bookmarkEnd w:id="3"/>
    </w:p>
    <w:p w:rsidR="0023637D" w:rsidRDefault="0086276B">
      <w:pPr>
        <w:pStyle w:val="BodyTextIndent"/>
      </w:pPr>
      <w:r>
        <w:t xml:space="preserve">The </w:t>
      </w:r>
      <w:r w:rsidR="00094427">
        <w:t>Steering Committee</w:t>
      </w:r>
      <w:r>
        <w:t xml:space="preserve"> is responsible for approving </w:t>
      </w:r>
      <w:r w:rsidR="00247CD4">
        <w:t xml:space="preserve">the use of the Adult Education Block Grant funds awarded by the state to the region served by the two community college districts and the five adult schools. </w:t>
      </w:r>
    </w:p>
    <w:p w:rsidR="00DF3BC0" w:rsidRDefault="006852ED" w:rsidP="00DF3BC0">
      <w:pPr>
        <w:pStyle w:val="BodyTextIndent"/>
      </w:pPr>
      <w:r>
        <w:t>The Steering Committee</w:t>
      </w:r>
      <w:r w:rsidR="00077AA1">
        <w:t xml:space="preserve">, in deliberation with the </w:t>
      </w:r>
      <w:r w:rsidR="00BB797E">
        <w:t>Consultation</w:t>
      </w:r>
      <w:r w:rsidR="00077AA1">
        <w:t xml:space="preserve"> Council,</w:t>
      </w:r>
      <w:r>
        <w:t xml:space="preserve"> </w:t>
      </w:r>
      <w:r w:rsidR="00DF3BC0">
        <w:t>will assure that funded activities align with the</w:t>
      </w:r>
      <w:r>
        <w:t xml:space="preserve"> Plan’s objectives</w:t>
      </w:r>
      <w:r w:rsidR="00DF3BC0">
        <w:t xml:space="preserve"> </w:t>
      </w:r>
      <w:r>
        <w:t xml:space="preserve">and include decisions </w:t>
      </w:r>
      <w:r w:rsidR="00DF3BC0">
        <w:t xml:space="preserve">such as: </w:t>
      </w:r>
    </w:p>
    <w:p w:rsidR="00DF3BC0" w:rsidRDefault="00DF3BC0" w:rsidP="00DF3BC0">
      <w:pPr>
        <w:pStyle w:val="ListBullet"/>
      </w:pPr>
      <w:r>
        <w:t>Prioritization of activity objectives and outcomes as identified in the Plan</w:t>
      </w:r>
      <w:r w:rsidR="00447EA3">
        <w:t>, and required by the state</w:t>
      </w:r>
      <w:r>
        <w:t>;</w:t>
      </w:r>
      <w:r w:rsidRPr="00DF3BC0">
        <w:t xml:space="preserve"> </w:t>
      </w:r>
    </w:p>
    <w:p w:rsidR="00DF3BC0" w:rsidRDefault="00DF3BC0" w:rsidP="00DF3BC0">
      <w:pPr>
        <w:pStyle w:val="ListBullet"/>
      </w:pPr>
      <w:r>
        <w:t>Develop</w:t>
      </w:r>
      <w:r w:rsidR="0007199E">
        <w:t xml:space="preserve">ing and approving an annual fund </w:t>
      </w:r>
      <w:r w:rsidR="00447EA3">
        <w:t>distribution</w:t>
      </w:r>
      <w:r w:rsidR="0007199E">
        <w:t xml:space="preserve"> schedule determining funding amounts and reporting responsibilities for each member</w:t>
      </w:r>
      <w:r>
        <w:t xml:space="preserve"> </w:t>
      </w:r>
      <w:r w:rsidR="0007199E">
        <w:t xml:space="preserve">for </w:t>
      </w:r>
      <w:r w:rsidR="0007199E">
        <w:rPr>
          <w:i/>
        </w:rPr>
        <w:t>annual activities</w:t>
      </w:r>
      <w:r w:rsidR="00447EA3">
        <w:rPr>
          <w:i/>
        </w:rPr>
        <w:t>;</w:t>
      </w:r>
      <w:r w:rsidR="0007199E">
        <w:t xml:space="preserve"> </w:t>
      </w:r>
    </w:p>
    <w:p w:rsidR="00DF3BC0" w:rsidRDefault="00DF3BC0" w:rsidP="00DF3BC0">
      <w:pPr>
        <w:pStyle w:val="ListBullet"/>
      </w:pPr>
      <w:r>
        <w:t xml:space="preserve">Receiving and certifying deliverables as identified in the </w:t>
      </w:r>
      <w:r>
        <w:rPr>
          <w:i/>
        </w:rPr>
        <w:t xml:space="preserve">annual activities </w:t>
      </w:r>
      <w:r>
        <w:t xml:space="preserve">and the Plan, and as required by the state; </w:t>
      </w:r>
    </w:p>
    <w:p w:rsidR="006852ED" w:rsidRDefault="006852ED" w:rsidP="00DF3BC0">
      <w:pPr>
        <w:pStyle w:val="ListBullet"/>
      </w:pPr>
      <w:r>
        <w:t xml:space="preserve">Determining the need to amend either the </w:t>
      </w:r>
      <w:r>
        <w:rPr>
          <w:i/>
        </w:rPr>
        <w:t xml:space="preserve">annual activities </w:t>
      </w:r>
      <w:r>
        <w:t>or the Plan itself and approving such amendments.</w:t>
      </w:r>
    </w:p>
    <w:p w:rsidR="0023637D" w:rsidRDefault="00247CD4">
      <w:pPr>
        <w:pStyle w:val="BodyTextIndent"/>
      </w:pPr>
      <w:r>
        <w:t>The Steering Committee will assure</w:t>
      </w:r>
      <w:r w:rsidR="0023637D">
        <w:t xml:space="preserve"> </w:t>
      </w:r>
      <w:r w:rsidR="006852ED">
        <w:t xml:space="preserve">that </w:t>
      </w:r>
      <w:r w:rsidR="0023637D">
        <w:t>a</w:t>
      </w:r>
      <w:r w:rsidR="006852ED">
        <w:t xml:space="preserve">ll meetings where the above listed </w:t>
      </w:r>
      <w:r w:rsidR="0023637D">
        <w:t xml:space="preserve">decisions </w:t>
      </w:r>
      <w:r w:rsidR="006852ED">
        <w:t xml:space="preserve">are </w:t>
      </w:r>
      <w:r w:rsidR="00FD28C5">
        <w:t xml:space="preserve">discussed and </w:t>
      </w:r>
      <w:r w:rsidR="002D0E1B">
        <w:t xml:space="preserve">approved </w:t>
      </w:r>
      <w:r w:rsidR="00FD28C5">
        <w:t>will follow the</w:t>
      </w:r>
      <w:r w:rsidR="006852ED">
        <w:t xml:space="preserve"> guiding principles </w:t>
      </w:r>
      <w:r w:rsidR="002D0E1B">
        <w:t>below</w:t>
      </w:r>
      <w:r w:rsidR="0023637D">
        <w:t xml:space="preserve">: </w:t>
      </w:r>
    </w:p>
    <w:p w:rsidR="006852ED" w:rsidRDefault="006852ED" w:rsidP="00E7377B">
      <w:pPr>
        <w:pStyle w:val="BodyTextIndent"/>
        <w:numPr>
          <w:ilvl w:val="0"/>
          <w:numId w:val="10"/>
        </w:numPr>
      </w:pPr>
      <w:r>
        <w:t>Public meet</w:t>
      </w:r>
      <w:r w:rsidR="00447EA3">
        <w:t xml:space="preserve">ings with </w:t>
      </w:r>
      <w:r>
        <w:t>public comment</w:t>
      </w:r>
      <w:r w:rsidR="00447EA3">
        <w:t xml:space="preserve"> solicited</w:t>
      </w:r>
      <w:r w:rsidR="00E7377B">
        <w:t>, both written and in person</w:t>
      </w:r>
      <w:r w:rsidR="00E32D58">
        <w:t>;</w:t>
      </w:r>
    </w:p>
    <w:p w:rsidR="0023637D" w:rsidRDefault="006852ED" w:rsidP="00E7377B">
      <w:pPr>
        <w:pStyle w:val="BodyTextIndent"/>
        <w:numPr>
          <w:ilvl w:val="0"/>
          <w:numId w:val="10"/>
        </w:numPr>
      </w:pPr>
      <w:r>
        <w:t>Decision-making meeting n</w:t>
      </w:r>
      <w:r w:rsidR="0023637D">
        <w:t xml:space="preserve">otices and agendas </w:t>
      </w:r>
      <w:r>
        <w:t xml:space="preserve">posted </w:t>
      </w:r>
      <w:r w:rsidR="0023637D">
        <w:t>on the SBCAE website</w:t>
      </w:r>
      <w:r>
        <w:t xml:space="preserve"> and disseminated to </w:t>
      </w:r>
      <w:r w:rsidR="00E7377B">
        <w:t xml:space="preserve">established lists of community </w:t>
      </w:r>
      <w:r>
        <w:t>partners, stakeholders and interested public</w:t>
      </w:r>
      <w:r w:rsidR="00E32D58">
        <w:t>;</w:t>
      </w:r>
    </w:p>
    <w:p w:rsidR="00E7377B" w:rsidRDefault="00DF3BC0" w:rsidP="00E7377B">
      <w:pPr>
        <w:pStyle w:val="BodyTextIndent"/>
        <w:numPr>
          <w:ilvl w:val="0"/>
          <w:numId w:val="10"/>
        </w:numPr>
      </w:pPr>
      <w:r>
        <w:t>A</w:t>
      </w:r>
      <w:r w:rsidR="0023637D">
        <w:t>nnouncing meetings</w:t>
      </w:r>
      <w:r w:rsidR="00447EA3">
        <w:t>,</w:t>
      </w:r>
      <w:r w:rsidR="0023637D">
        <w:t xml:space="preserve"> and inviting pu</w:t>
      </w:r>
      <w:r>
        <w:t>blic comment</w:t>
      </w:r>
      <w:r w:rsidR="00447EA3">
        <w:t>,</w:t>
      </w:r>
      <w:r>
        <w:t xml:space="preserve"> through </w:t>
      </w:r>
      <w:r w:rsidR="0023637D">
        <w:t xml:space="preserve">the members’ </w:t>
      </w:r>
      <w:r>
        <w:t xml:space="preserve">own </w:t>
      </w:r>
      <w:r w:rsidR="0023637D">
        <w:t>communication channels</w:t>
      </w:r>
      <w:r w:rsidR="00E7377B">
        <w:t xml:space="preserve"> and protocols</w:t>
      </w:r>
      <w:r w:rsidR="0023637D">
        <w:t>,</w:t>
      </w:r>
      <w:r w:rsidR="00E32D58">
        <w:t xml:space="preserve"> and</w:t>
      </w:r>
    </w:p>
    <w:p w:rsidR="00077AA1" w:rsidRDefault="00E7377B" w:rsidP="00E7377B">
      <w:pPr>
        <w:pStyle w:val="BodyTextIndent"/>
        <w:numPr>
          <w:ilvl w:val="0"/>
          <w:numId w:val="10"/>
        </w:numPr>
      </w:pPr>
      <w:r>
        <w:t>Posting meeting minutes and other supporting documents on the SBCAE website.</w:t>
      </w:r>
      <w:r w:rsidR="0023637D">
        <w:t xml:space="preserve"> </w:t>
      </w:r>
    </w:p>
    <w:p w:rsidR="00DF3BC0" w:rsidRDefault="00077AA1" w:rsidP="00E7377B">
      <w:pPr>
        <w:pStyle w:val="BodyTextIndent"/>
        <w:numPr>
          <w:ilvl w:val="0"/>
          <w:numId w:val="10"/>
        </w:numPr>
      </w:pPr>
      <w:r>
        <w:t xml:space="preserve">One week before the </w:t>
      </w:r>
      <w:r w:rsidR="00B75D5D">
        <w:t xml:space="preserve">Formal Public Meeting and before </w:t>
      </w:r>
      <w:r>
        <w:t>Annual Plans, Allocation Schedules, and Reports are posted on the website</w:t>
      </w:r>
      <w:r w:rsidR="00B75D5D">
        <w:t>, the Steering Committee</w:t>
      </w:r>
      <w:r>
        <w:t xml:space="preserve"> will meet and review all information with the </w:t>
      </w:r>
      <w:r w:rsidR="00BB797E">
        <w:t>Consultation</w:t>
      </w:r>
      <w:r>
        <w:t xml:space="preserve"> Council.</w:t>
      </w:r>
      <w:r w:rsidR="00247CD4">
        <w:t xml:space="preserve"> </w:t>
      </w:r>
    </w:p>
    <w:p w:rsidR="00352FF7" w:rsidRDefault="00352FF7" w:rsidP="00E7377B">
      <w:pPr>
        <w:pStyle w:val="BodyTextIndent"/>
        <w:numPr>
          <w:ilvl w:val="0"/>
          <w:numId w:val="10"/>
        </w:numPr>
      </w:pPr>
      <w:r>
        <w:t xml:space="preserve">Agendas for the </w:t>
      </w:r>
      <w:r w:rsidR="00BB797E">
        <w:t>Consultation</w:t>
      </w:r>
      <w:r>
        <w:t xml:space="preserve"> Council meetings will be developed jointly.</w:t>
      </w:r>
    </w:p>
    <w:p w:rsidR="00DF3BC0" w:rsidRDefault="00DF3BC0" w:rsidP="0023637D">
      <w:pPr>
        <w:pStyle w:val="BodyTextIndent"/>
      </w:pPr>
    </w:p>
    <w:p w:rsidR="0086276B" w:rsidRDefault="001D0557" w:rsidP="009C1C6A">
      <w:pPr>
        <w:pStyle w:val="Heading1"/>
        <w:numPr>
          <w:ilvl w:val="0"/>
          <w:numId w:val="9"/>
        </w:numPr>
        <w:shd w:val="pct20" w:color="auto" w:fill="auto"/>
        <w:spacing w:before="0" w:after="0"/>
        <w:rPr>
          <w:sz w:val="28"/>
        </w:rPr>
      </w:pPr>
      <w:r>
        <w:rPr>
          <w:sz w:val="28"/>
        </w:rPr>
        <w:t xml:space="preserve">SBCAE </w:t>
      </w:r>
      <w:r w:rsidR="00094427">
        <w:rPr>
          <w:sz w:val="28"/>
        </w:rPr>
        <w:t>Steering Committee</w:t>
      </w:r>
      <w:r w:rsidR="0086276B">
        <w:rPr>
          <w:sz w:val="28"/>
        </w:rPr>
        <w:t xml:space="preserve"> </w:t>
      </w:r>
    </w:p>
    <w:p w:rsidR="00795770" w:rsidRDefault="00795770">
      <w:pPr>
        <w:pStyle w:val="Heading2"/>
        <w:rPr>
          <w:sz w:val="20"/>
        </w:rPr>
      </w:pPr>
      <w:bookmarkStart w:id="4" w:name="_Toc10618274"/>
    </w:p>
    <w:p w:rsidR="0086276B" w:rsidRDefault="0086276B">
      <w:pPr>
        <w:pStyle w:val="Heading2"/>
        <w:rPr>
          <w:sz w:val="20"/>
        </w:rPr>
      </w:pPr>
      <w:r>
        <w:rPr>
          <w:sz w:val="20"/>
        </w:rPr>
        <w:t>Membership</w:t>
      </w:r>
      <w:bookmarkEnd w:id="4"/>
    </w:p>
    <w:p w:rsidR="0086276B" w:rsidRPr="00077AA1" w:rsidRDefault="00E7377B">
      <w:pPr>
        <w:pStyle w:val="BodyTextIndent"/>
        <w:spacing w:after="120"/>
      </w:pPr>
      <w:r>
        <w:t>Each of</w:t>
      </w:r>
      <w:r w:rsidR="00020066">
        <w:t xml:space="preserve"> the </w:t>
      </w:r>
      <w:r w:rsidR="00BB797E">
        <w:t>five-member</w:t>
      </w:r>
      <w:r>
        <w:t xml:space="preserve"> </w:t>
      </w:r>
      <w:r w:rsidR="00020066">
        <w:t>school districts</w:t>
      </w:r>
      <w:r w:rsidR="00B06CA7">
        <w:t xml:space="preserve"> </w:t>
      </w:r>
      <w:r w:rsidR="00377BDB">
        <w:t>is</w:t>
      </w:r>
      <w:r w:rsidR="00020066">
        <w:t xml:space="preserve"> represented by one representative and one alternate.  Each </w:t>
      </w:r>
      <w:r w:rsidR="000F374E">
        <w:t>of the community college districts, with two</w:t>
      </w:r>
      <w:r w:rsidR="00377BDB">
        <w:t xml:space="preserve"> colleges each, is</w:t>
      </w:r>
      <w:r w:rsidR="000F374E">
        <w:t xml:space="preserve"> represented by two members</w:t>
      </w:r>
      <w:r w:rsidR="00DD26C5">
        <w:t xml:space="preserve"> and their alternates</w:t>
      </w:r>
      <w:r w:rsidR="000F374E">
        <w:t>.</w:t>
      </w:r>
      <w:r w:rsidR="00B06CA7">
        <w:t xml:space="preserve"> </w:t>
      </w:r>
      <w:r w:rsidR="00363696">
        <w:t xml:space="preserve"> </w:t>
      </w:r>
      <w:r w:rsidR="00DD26C5">
        <w:t xml:space="preserve">The Steering Committee will meet quarterly in </w:t>
      </w:r>
      <w:r w:rsidR="00DD26C5" w:rsidRPr="00DD26C5">
        <w:rPr>
          <w:b/>
        </w:rPr>
        <w:t xml:space="preserve">Formal </w:t>
      </w:r>
      <w:r w:rsidR="001B3995">
        <w:rPr>
          <w:b/>
        </w:rPr>
        <w:t xml:space="preserve">Public </w:t>
      </w:r>
      <w:r w:rsidR="00DD26C5" w:rsidRPr="00DD26C5">
        <w:rPr>
          <w:b/>
        </w:rPr>
        <w:t>Meetings</w:t>
      </w:r>
      <w:r w:rsidR="00DD26C5">
        <w:t xml:space="preserve"> in which nine representatives </w:t>
      </w:r>
      <w:r w:rsidR="00476959">
        <w:t xml:space="preserve">(primary or </w:t>
      </w:r>
      <w:r w:rsidR="00476959">
        <w:lastRenderedPageBreak/>
        <w:t xml:space="preserve">alternate) </w:t>
      </w:r>
      <w:r w:rsidR="00DD26C5">
        <w:t xml:space="preserve">will represent their member institutions.  </w:t>
      </w:r>
      <w:r w:rsidR="00BB797E">
        <w:t>B</w:t>
      </w:r>
      <w:r w:rsidR="00077AA1">
        <w:t xml:space="preserve">oth </w:t>
      </w:r>
      <w:r w:rsidR="00BB797E">
        <w:t xml:space="preserve">education </w:t>
      </w:r>
      <w:r w:rsidR="00077AA1">
        <w:t xml:space="preserve">systems will choose one representative from the colleges and one representative from the adult schools to attend regularly scheduled Steering Committee members as an </w:t>
      </w:r>
      <w:r w:rsidR="00077AA1">
        <w:rPr>
          <w:i/>
        </w:rPr>
        <w:t xml:space="preserve">ex officio </w:t>
      </w:r>
      <w:r w:rsidR="00077AA1">
        <w:t xml:space="preserve">non-voting member.   Faculty representatives will receive </w:t>
      </w:r>
      <w:r w:rsidR="00B75D5D">
        <w:t xml:space="preserve">meeting </w:t>
      </w:r>
      <w:r w:rsidR="00077AA1">
        <w:t>agendas and supporting documents just as any Steering Committee member will.</w:t>
      </w:r>
    </w:p>
    <w:p w:rsidR="00377BDB" w:rsidRDefault="00377BDB" w:rsidP="0067185D">
      <w:pPr>
        <w:pStyle w:val="BodyTextIndent"/>
        <w:spacing w:before="240"/>
      </w:pPr>
      <w:r>
        <w:t xml:space="preserve">Member districts will select </w:t>
      </w:r>
      <w:r w:rsidR="00B75D5D">
        <w:t xml:space="preserve">voting </w:t>
      </w:r>
      <w:r>
        <w:t xml:space="preserve">representatives through locally established processes, but all representatives </w:t>
      </w:r>
      <w:r w:rsidR="005F718B">
        <w:t xml:space="preserve">are </w:t>
      </w:r>
      <w:r>
        <w:t xml:space="preserve">formally appointed to the Steering Committee </w:t>
      </w:r>
      <w:r w:rsidR="00A524CA">
        <w:t>by the governing boards of their districts</w:t>
      </w:r>
      <w:r w:rsidR="00A63C38">
        <w:t>’</w:t>
      </w:r>
      <w:r w:rsidR="00A524CA">
        <w:t>.</w:t>
      </w:r>
      <w:r w:rsidR="00FD28C5">
        <w:t xml:space="preserve">  Each member’s district is solely responsible for who represents it.</w:t>
      </w:r>
      <w:r w:rsidR="004A1E1E">
        <w:t xml:space="preserve">  </w:t>
      </w:r>
    </w:p>
    <w:p w:rsidR="00A524CA" w:rsidRDefault="00A524CA" w:rsidP="00A524CA">
      <w:pPr>
        <w:pStyle w:val="Heading2"/>
        <w:ind w:left="0"/>
        <w:rPr>
          <w:sz w:val="20"/>
        </w:rPr>
      </w:pPr>
      <w:bookmarkStart w:id="5" w:name="_Toc10618275"/>
    </w:p>
    <w:p w:rsidR="0086276B" w:rsidRDefault="0086276B">
      <w:pPr>
        <w:pStyle w:val="Heading2"/>
        <w:rPr>
          <w:sz w:val="20"/>
        </w:rPr>
      </w:pPr>
      <w:r>
        <w:rPr>
          <w:sz w:val="20"/>
        </w:rPr>
        <w:t xml:space="preserve">Role of a </w:t>
      </w:r>
      <w:r w:rsidR="00094427">
        <w:rPr>
          <w:sz w:val="20"/>
        </w:rPr>
        <w:t>Steering Committee</w:t>
      </w:r>
      <w:r>
        <w:rPr>
          <w:sz w:val="20"/>
        </w:rPr>
        <w:t xml:space="preserve"> member</w:t>
      </w:r>
      <w:bookmarkEnd w:id="5"/>
    </w:p>
    <w:p w:rsidR="0086276B" w:rsidRDefault="0086276B">
      <w:pPr>
        <w:pStyle w:val="BodyTextIndent"/>
      </w:pPr>
      <w:r>
        <w:t xml:space="preserve">It is intended that the </w:t>
      </w:r>
      <w:r w:rsidR="00094427">
        <w:t>Steering Committee</w:t>
      </w:r>
      <w:r>
        <w:t xml:space="preserve"> </w:t>
      </w:r>
      <w:r w:rsidR="00A524CA">
        <w:t>member</w:t>
      </w:r>
      <w:r w:rsidR="005F718B">
        <w:t>s</w:t>
      </w:r>
      <w:r w:rsidR="00A524CA">
        <w:t xml:space="preserve"> </w:t>
      </w:r>
      <w:r>
        <w:t>leverage the</w:t>
      </w:r>
      <w:r w:rsidR="00547557">
        <w:t>ir</w:t>
      </w:r>
      <w:r>
        <w:t xml:space="preserve"> experiences, expertise, and insight </w:t>
      </w:r>
      <w:r w:rsidR="00547557">
        <w:t xml:space="preserve">as representatives of their respective member districts. </w:t>
      </w:r>
      <w:r w:rsidR="00094427">
        <w:t>Steering Committee</w:t>
      </w:r>
      <w:r>
        <w:t xml:space="preserve"> members are not directly responsible for managing </w:t>
      </w:r>
      <w:r w:rsidR="00547557">
        <w:rPr>
          <w:i/>
        </w:rPr>
        <w:t>annual activities</w:t>
      </w:r>
      <w:r>
        <w:t xml:space="preserve">, but provide support and guidance for those who do. Thus, individually, </w:t>
      </w:r>
      <w:r w:rsidR="00094427">
        <w:t>Steering Committee</w:t>
      </w:r>
      <w:r>
        <w:t xml:space="preserve"> members should:</w:t>
      </w:r>
    </w:p>
    <w:p w:rsidR="0086276B" w:rsidRDefault="00A524CA">
      <w:pPr>
        <w:pStyle w:val="ListBullet"/>
      </w:pPr>
      <w:r>
        <w:t>Have a comprehensive u</w:t>
      </w:r>
      <w:r w:rsidR="0086276B">
        <w:t>nderstand</w:t>
      </w:r>
      <w:r>
        <w:t>ing of</w:t>
      </w:r>
      <w:r w:rsidR="0086276B">
        <w:t xml:space="preserve"> the strategic implications and outcomes of </w:t>
      </w:r>
      <w:r w:rsidR="00547557">
        <w:t xml:space="preserve">the Plan and the </w:t>
      </w:r>
      <w:r w:rsidR="00547557">
        <w:rPr>
          <w:i/>
        </w:rPr>
        <w:t>annual activities</w:t>
      </w:r>
      <w:r w:rsidR="0086276B">
        <w:t xml:space="preserve">; </w:t>
      </w:r>
    </w:p>
    <w:p w:rsidR="0086276B" w:rsidRDefault="0086276B">
      <w:pPr>
        <w:pStyle w:val="ListBullet"/>
      </w:pPr>
      <w:r>
        <w:t xml:space="preserve">Appreciate the significance of the project for some or all major stakeholders and represent their interests; </w:t>
      </w:r>
    </w:p>
    <w:p w:rsidR="0086276B" w:rsidRDefault="0086276B">
      <w:pPr>
        <w:pStyle w:val="ListBullet"/>
      </w:pPr>
      <w:r>
        <w:t>Be an advocate for broad</w:t>
      </w:r>
      <w:r w:rsidR="005F718B">
        <w:t xml:space="preserve"> regional</w:t>
      </w:r>
      <w:r>
        <w:t xml:space="preserve"> support for the outco</w:t>
      </w:r>
      <w:r w:rsidR="00547557">
        <w:t>mes of the Plan</w:t>
      </w:r>
      <w:r>
        <w:t xml:space="preserve">; </w:t>
      </w:r>
      <w:r w:rsidR="0039413A">
        <w:t xml:space="preserve">  </w:t>
      </w:r>
    </w:p>
    <w:p w:rsidR="0086276B" w:rsidRDefault="00A524CA">
      <w:pPr>
        <w:pStyle w:val="ListBullet"/>
      </w:pPr>
      <w:r>
        <w:t>Have a deep</w:t>
      </w:r>
      <w:r w:rsidR="0086276B">
        <w:t xml:space="preserve"> understanding of </w:t>
      </w:r>
      <w:r>
        <w:t xml:space="preserve">the </w:t>
      </w:r>
      <w:r w:rsidR="00547557">
        <w:t>region</w:t>
      </w:r>
      <w:r>
        <w:t xml:space="preserve"> and its </w:t>
      </w:r>
      <w:r w:rsidR="007B5D99">
        <w:t xml:space="preserve">adult education, immigrant integration, and workforce development </w:t>
      </w:r>
      <w:r>
        <w:t>needs</w:t>
      </w:r>
      <w:r w:rsidR="0086276B">
        <w:t xml:space="preserve">. </w:t>
      </w:r>
      <w:r w:rsidR="00547557">
        <w:t xml:space="preserve">  </w:t>
      </w:r>
    </w:p>
    <w:p w:rsidR="0086276B" w:rsidRDefault="0086276B">
      <w:pPr>
        <w:pStyle w:val="BodyTextIndent"/>
      </w:pPr>
      <w:r>
        <w:t>In practice, this means they:</w:t>
      </w:r>
    </w:p>
    <w:p w:rsidR="00547557" w:rsidRDefault="00547557">
      <w:pPr>
        <w:pStyle w:val="ListBullet"/>
      </w:pPr>
      <w:r>
        <w:t>Take appropriate effort regularly to r</w:t>
      </w:r>
      <w:r w:rsidR="0086276B">
        <w:t>eview the status of t</w:t>
      </w:r>
      <w:r>
        <w:t xml:space="preserve">he </w:t>
      </w:r>
      <w:r>
        <w:rPr>
          <w:i/>
        </w:rPr>
        <w:t>annual activities</w:t>
      </w:r>
      <w:r w:rsidR="0086276B">
        <w:t>;</w:t>
      </w:r>
      <w:r w:rsidRPr="00547557">
        <w:t xml:space="preserve"> </w:t>
      </w:r>
    </w:p>
    <w:p w:rsidR="0086276B" w:rsidRDefault="00A524CA">
      <w:pPr>
        <w:pStyle w:val="ListBullet"/>
      </w:pPr>
      <w:r>
        <w:t>Represent</w:t>
      </w:r>
      <w:r w:rsidR="00547557">
        <w:t xml:space="preserve"> their member district’s interests, </w:t>
      </w:r>
      <w:r>
        <w:t xml:space="preserve">but </w:t>
      </w:r>
      <w:r w:rsidR="00547557">
        <w:t>the region’s need for comprehensive adult education services will take priority</w:t>
      </w:r>
      <w:r w:rsidR="0039413A">
        <w:t>;</w:t>
      </w:r>
    </w:p>
    <w:p w:rsidR="0086276B" w:rsidRDefault="0086276B">
      <w:pPr>
        <w:pStyle w:val="ListBullet"/>
      </w:pPr>
      <w:r>
        <w:t xml:space="preserve">Ensure the </w:t>
      </w:r>
      <w:r w:rsidR="00547557">
        <w:rPr>
          <w:i/>
        </w:rPr>
        <w:t>annual activities</w:t>
      </w:r>
      <w:r>
        <w:t xml:space="preserve"> meet the req</w:t>
      </w:r>
      <w:r w:rsidR="00547557">
        <w:t>uirements of the state, the SBCAE Plan,</w:t>
      </w:r>
      <w:r>
        <w:t xml:space="preserve"> and key stakeholders; </w:t>
      </w:r>
    </w:p>
    <w:p w:rsidR="0086276B" w:rsidRDefault="0086276B">
      <w:pPr>
        <w:pStyle w:val="ListBullet"/>
      </w:pPr>
      <w:r>
        <w:t xml:space="preserve">Help balance conflicting priorities and resources; </w:t>
      </w:r>
    </w:p>
    <w:p w:rsidR="0086276B" w:rsidRDefault="0086276B">
      <w:pPr>
        <w:pStyle w:val="ListBullet"/>
      </w:pPr>
      <w:r>
        <w:t xml:space="preserve">Provide guidance to the </w:t>
      </w:r>
      <w:r w:rsidR="007B5D99">
        <w:t>SBCAE Co-Chairs</w:t>
      </w:r>
      <w:r>
        <w:t>;</w:t>
      </w:r>
    </w:p>
    <w:p w:rsidR="0086276B" w:rsidRDefault="00D517E9">
      <w:pPr>
        <w:pStyle w:val="ListBullet"/>
      </w:pPr>
      <w:hyperlink r:id="rId9" w:anchor="top" w:history="1"/>
      <w:r w:rsidR="001C7431">
        <w:t xml:space="preserve">Solicit and consider </w:t>
      </w:r>
      <w:r w:rsidR="0086276B">
        <w:t>ideas and issues raised</w:t>
      </w:r>
      <w:r w:rsidR="00A524CA">
        <w:t xml:space="preserve"> by community partners, faculty, students and other stakeholders</w:t>
      </w:r>
      <w:r w:rsidR="0086276B">
        <w:t xml:space="preserve">; </w:t>
      </w:r>
    </w:p>
    <w:p w:rsidR="0086276B" w:rsidRDefault="0086276B">
      <w:pPr>
        <w:pStyle w:val="ListBullet"/>
      </w:pPr>
      <w:r>
        <w:t xml:space="preserve">Check adherence of </w:t>
      </w:r>
      <w:r w:rsidR="00A524CA">
        <w:rPr>
          <w:i/>
        </w:rPr>
        <w:t>annual activities</w:t>
      </w:r>
      <w:r>
        <w:t xml:space="preserve"> to standards of best practice both within the</w:t>
      </w:r>
      <w:r w:rsidR="00A524CA">
        <w:t>ir member districts</w:t>
      </w:r>
      <w:r>
        <w:t xml:space="preserve"> and in a wider context;</w:t>
      </w:r>
    </w:p>
    <w:p w:rsidR="0086276B" w:rsidRDefault="0086276B">
      <w:pPr>
        <w:pStyle w:val="ListBullet"/>
      </w:pPr>
      <w:r>
        <w:t xml:space="preserve">Foster positive communication outside of the </w:t>
      </w:r>
      <w:r w:rsidR="00A524CA">
        <w:t xml:space="preserve">Steering Committee </w:t>
      </w:r>
      <w:r>
        <w:t xml:space="preserve">regarding the </w:t>
      </w:r>
      <w:r w:rsidR="00A524CA">
        <w:rPr>
          <w:i/>
        </w:rPr>
        <w:t xml:space="preserve">annual activities </w:t>
      </w:r>
      <w:r w:rsidR="00A524CA">
        <w:t>and the Plan’s</w:t>
      </w:r>
      <w:r>
        <w:t xml:space="preserve"> progress and outcomes; </w:t>
      </w:r>
    </w:p>
    <w:p w:rsidR="00B75D5D" w:rsidRDefault="00A524CA" w:rsidP="00B75D5D">
      <w:pPr>
        <w:pStyle w:val="ListBullet"/>
      </w:pPr>
      <w:r>
        <w:t xml:space="preserve">Report and evaluate </w:t>
      </w:r>
      <w:r w:rsidR="007B5D99">
        <w:t xml:space="preserve">member </w:t>
      </w:r>
      <w:r>
        <w:t xml:space="preserve">services whose outcomes may </w:t>
      </w:r>
      <w:r w:rsidR="007B5D99">
        <w:t>help</w:t>
      </w:r>
      <w:r>
        <w:t xml:space="preserve"> </w:t>
      </w:r>
      <w:r w:rsidR="007B5D99">
        <w:t>achieve the Plan’s objectives.  Such service may include, but not be limited to, funding from WIOA Title II, Carl Perkins, non-credit adult education and other grants.</w:t>
      </w:r>
    </w:p>
    <w:p w:rsidR="00B75D5D" w:rsidRPr="00BB797E" w:rsidRDefault="00B75D5D" w:rsidP="00BB797E">
      <w:pPr>
        <w:pStyle w:val="ListBullet"/>
        <w:numPr>
          <w:ilvl w:val="0"/>
          <w:numId w:val="0"/>
        </w:numPr>
        <w:rPr>
          <w:b/>
        </w:rPr>
      </w:pPr>
      <w:r w:rsidRPr="00BB797E">
        <w:rPr>
          <w:b/>
        </w:rPr>
        <w:t>Role of Faculty Represent</w:t>
      </w:r>
      <w:r w:rsidR="00C87196">
        <w:rPr>
          <w:b/>
        </w:rPr>
        <w:t>at</w:t>
      </w:r>
      <w:r w:rsidRPr="00BB797E">
        <w:rPr>
          <w:b/>
        </w:rPr>
        <w:t>ives in Steering Committee Meetings</w:t>
      </w:r>
    </w:p>
    <w:p w:rsidR="00B75D5D" w:rsidRDefault="00B75D5D" w:rsidP="00B75D5D">
      <w:pPr>
        <w:pStyle w:val="ListBullet"/>
      </w:pPr>
      <w:r>
        <w:t xml:space="preserve">All the same responsibilities as any Steering Committee, with the additional responsibility of reporting back to the members of the </w:t>
      </w:r>
      <w:r w:rsidR="00BB797E">
        <w:t>Consultation</w:t>
      </w:r>
      <w:r>
        <w:t xml:space="preserve"> Council.</w:t>
      </w:r>
    </w:p>
    <w:p w:rsidR="00B75D5D" w:rsidRDefault="00B75D5D" w:rsidP="00BB797E">
      <w:pPr>
        <w:pStyle w:val="ListBullet"/>
        <w:numPr>
          <w:ilvl w:val="0"/>
          <w:numId w:val="0"/>
        </w:numPr>
        <w:ind w:left="720"/>
      </w:pPr>
    </w:p>
    <w:p w:rsidR="00B75D5D" w:rsidRDefault="00B75D5D" w:rsidP="00BB797E">
      <w:pPr>
        <w:pStyle w:val="Heading1"/>
        <w:numPr>
          <w:ilvl w:val="0"/>
          <w:numId w:val="9"/>
        </w:numPr>
        <w:shd w:val="pct20" w:color="auto" w:fill="auto"/>
        <w:spacing w:before="0" w:after="0"/>
        <w:rPr>
          <w:sz w:val="28"/>
        </w:rPr>
      </w:pPr>
      <w:r>
        <w:rPr>
          <w:sz w:val="28"/>
        </w:rPr>
        <w:t xml:space="preserve">SBCAE </w:t>
      </w:r>
      <w:r w:rsidR="00BB797E">
        <w:rPr>
          <w:sz w:val="28"/>
        </w:rPr>
        <w:t>Consultation</w:t>
      </w:r>
      <w:r>
        <w:rPr>
          <w:sz w:val="28"/>
        </w:rPr>
        <w:t xml:space="preserve"> Council</w:t>
      </w:r>
    </w:p>
    <w:p w:rsidR="00352FF7" w:rsidRDefault="00352FF7" w:rsidP="00795770">
      <w:pPr>
        <w:pStyle w:val="ListBullet"/>
        <w:numPr>
          <w:ilvl w:val="0"/>
          <w:numId w:val="0"/>
        </w:numPr>
      </w:pPr>
    </w:p>
    <w:p w:rsidR="00352FF7" w:rsidRPr="00352FF7" w:rsidRDefault="00B75D5D" w:rsidP="00795770">
      <w:pPr>
        <w:pStyle w:val="ListBullet"/>
        <w:numPr>
          <w:ilvl w:val="0"/>
          <w:numId w:val="0"/>
        </w:numPr>
      </w:pPr>
      <w:r>
        <w:t xml:space="preserve">To assure there is a formal role in the consortium’s annual decision-making, evaluation, and planning, a </w:t>
      </w:r>
      <w:r w:rsidR="00BB797E">
        <w:t>Consultation</w:t>
      </w:r>
      <w:r>
        <w:t xml:space="preserve"> Council will be convened to deliberate with the Steering Committee one week before all Formal Public Meetings.</w:t>
      </w:r>
      <w:r w:rsidR="00352FF7">
        <w:t xml:space="preserve">  The agendas for the meetings with the Steering Committee will be developed jointly.  The </w:t>
      </w:r>
      <w:r w:rsidR="00BB797E">
        <w:t>Consultation</w:t>
      </w:r>
      <w:r w:rsidR="00352FF7">
        <w:t xml:space="preserve"> Council will be charged with selecting one faculty member from each system to attend Steering Committee meetings as </w:t>
      </w:r>
      <w:r w:rsidR="00352FF7">
        <w:rPr>
          <w:i/>
        </w:rPr>
        <w:t>ex officio</w:t>
      </w:r>
      <w:r w:rsidR="00352FF7">
        <w:t xml:space="preserve"> members.  The </w:t>
      </w:r>
      <w:r w:rsidR="00BB797E">
        <w:lastRenderedPageBreak/>
        <w:t>Consultation</w:t>
      </w:r>
      <w:r w:rsidR="00352FF7">
        <w:t xml:space="preserve"> Council will be responsible for informing the Co-Chairs of who representatives are in a timely manner so that agendas and supporting documents may be shared with them as they are shared with all Steering Committee members.</w:t>
      </w:r>
    </w:p>
    <w:p w:rsidR="00B75D5D" w:rsidRDefault="00B75D5D" w:rsidP="00795770">
      <w:pPr>
        <w:pStyle w:val="ListBullet"/>
        <w:numPr>
          <w:ilvl w:val="0"/>
          <w:numId w:val="0"/>
        </w:numPr>
      </w:pPr>
      <w:r>
        <w:t xml:space="preserve">The </w:t>
      </w:r>
      <w:r w:rsidR="00BB797E">
        <w:t>Consultation</w:t>
      </w:r>
      <w:r>
        <w:t xml:space="preserve"> Council will </w:t>
      </w:r>
      <w:r w:rsidR="00352FF7">
        <w:t>be comprised of:</w:t>
      </w:r>
    </w:p>
    <w:p w:rsidR="00352FF7" w:rsidRDefault="00352FF7" w:rsidP="00BB797E">
      <w:pPr>
        <w:pStyle w:val="ListBullet"/>
        <w:numPr>
          <w:ilvl w:val="0"/>
          <w:numId w:val="19"/>
        </w:numPr>
      </w:pPr>
      <w:r>
        <w:t>One representative from each of the four Academic Senates.</w:t>
      </w:r>
    </w:p>
    <w:p w:rsidR="00352FF7" w:rsidRDefault="00352FF7" w:rsidP="00BB797E">
      <w:pPr>
        <w:pStyle w:val="ListBullet"/>
        <w:numPr>
          <w:ilvl w:val="0"/>
          <w:numId w:val="19"/>
        </w:numPr>
      </w:pPr>
      <w:r>
        <w:t>One representative from the certificated bargaining unit of each of the seven districts.</w:t>
      </w:r>
    </w:p>
    <w:p w:rsidR="00352FF7" w:rsidRDefault="00352FF7" w:rsidP="00BB797E">
      <w:pPr>
        <w:pStyle w:val="ListBullet"/>
        <w:numPr>
          <w:ilvl w:val="0"/>
          <w:numId w:val="19"/>
        </w:numPr>
      </w:pPr>
      <w:r>
        <w:t>One representative from the classified bargaining unit of each of the seven districts.</w:t>
      </w:r>
    </w:p>
    <w:p w:rsidR="0086276B" w:rsidRDefault="00094427" w:rsidP="00BB797E">
      <w:pPr>
        <w:pStyle w:val="Heading1"/>
        <w:numPr>
          <w:ilvl w:val="0"/>
          <w:numId w:val="9"/>
        </w:numPr>
        <w:shd w:val="pct20" w:color="auto" w:fill="auto"/>
        <w:rPr>
          <w:sz w:val="28"/>
        </w:rPr>
      </w:pPr>
      <w:bookmarkStart w:id="6" w:name="_Toc10618276"/>
      <w:r>
        <w:rPr>
          <w:sz w:val="28"/>
        </w:rPr>
        <w:t>Steering Committee</w:t>
      </w:r>
      <w:r w:rsidR="0086276B">
        <w:rPr>
          <w:sz w:val="28"/>
        </w:rPr>
        <w:t xml:space="preserve"> Meetings</w:t>
      </w:r>
      <w:bookmarkEnd w:id="6"/>
    </w:p>
    <w:p w:rsidR="0086276B" w:rsidRDefault="0086276B">
      <w:pPr>
        <w:pStyle w:val="Heading2"/>
        <w:rPr>
          <w:sz w:val="20"/>
        </w:rPr>
      </w:pPr>
      <w:bookmarkStart w:id="7" w:name="_Toc10618277"/>
      <w:r>
        <w:rPr>
          <w:sz w:val="20"/>
        </w:rPr>
        <w:t xml:space="preserve">Meeting </w:t>
      </w:r>
      <w:bookmarkEnd w:id="7"/>
      <w:r w:rsidR="00604B8D">
        <w:rPr>
          <w:sz w:val="20"/>
        </w:rPr>
        <w:t>Protocols and Decision-making Process</w:t>
      </w:r>
    </w:p>
    <w:p w:rsidR="00D535D0" w:rsidRDefault="0086276B" w:rsidP="00F74DB6">
      <w:pPr>
        <w:pStyle w:val="BodyTextIndent"/>
      </w:pPr>
      <w:r>
        <w:t xml:space="preserve">The </w:t>
      </w:r>
      <w:r w:rsidR="007B5D99">
        <w:t>Steering Committee</w:t>
      </w:r>
      <w:r w:rsidR="00D535D0">
        <w:t xml:space="preserve"> meets in </w:t>
      </w:r>
      <w:r w:rsidR="00352FF7">
        <w:rPr>
          <w:b/>
        </w:rPr>
        <w:t>F</w:t>
      </w:r>
      <w:r w:rsidR="00D535D0" w:rsidRPr="00D535D0">
        <w:rPr>
          <w:b/>
        </w:rPr>
        <w:t>ormal</w:t>
      </w:r>
      <w:r w:rsidR="00D535D0">
        <w:rPr>
          <w:b/>
        </w:rPr>
        <w:t xml:space="preserve"> </w:t>
      </w:r>
      <w:r w:rsidR="001B3995">
        <w:rPr>
          <w:b/>
        </w:rPr>
        <w:t xml:space="preserve">Public </w:t>
      </w:r>
      <w:r w:rsidR="00352FF7">
        <w:rPr>
          <w:b/>
        </w:rPr>
        <w:t>M</w:t>
      </w:r>
      <w:r w:rsidR="008D1009">
        <w:rPr>
          <w:b/>
        </w:rPr>
        <w:t xml:space="preserve">eetings </w:t>
      </w:r>
      <w:r w:rsidR="00D535D0">
        <w:t>at least three times a year</w:t>
      </w:r>
      <w:r w:rsidR="002E73A3">
        <w:t>: 1)</w:t>
      </w:r>
      <w:r w:rsidR="00D535D0">
        <w:t xml:space="preserve"> to develop the </w:t>
      </w:r>
      <w:r w:rsidR="00D535D0">
        <w:rPr>
          <w:i/>
        </w:rPr>
        <w:t>annual activities aligned to the Plan</w:t>
      </w:r>
      <w:r w:rsidR="005C1539">
        <w:t xml:space="preserve"> and the related funding distribution schedule</w:t>
      </w:r>
      <w:r w:rsidR="00D535D0">
        <w:t xml:space="preserve">, </w:t>
      </w:r>
      <w:r w:rsidR="001436EB">
        <w:t>2</w:t>
      </w:r>
      <w:r w:rsidR="002E73A3">
        <w:t xml:space="preserve">) </w:t>
      </w:r>
      <w:r w:rsidR="00D535D0">
        <w:t xml:space="preserve">to monitor and/or amend the </w:t>
      </w:r>
      <w:r w:rsidR="00D535D0">
        <w:rPr>
          <w:i/>
        </w:rPr>
        <w:t xml:space="preserve">annual activities, </w:t>
      </w:r>
      <w:r w:rsidR="00D535D0">
        <w:t xml:space="preserve">and </w:t>
      </w:r>
      <w:r w:rsidR="001436EB">
        <w:t>3</w:t>
      </w:r>
      <w:r w:rsidR="002E73A3">
        <w:t>)</w:t>
      </w:r>
      <w:r w:rsidR="001436EB">
        <w:t xml:space="preserve"> </w:t>
      </w:r>
      <w:r w:rsidR="00D535D0">
        <w:t xml:space="preserve">to review outcomes and certify the deliverables required by the state.  </w:t>
      </w:r>
      <w:r w:rsidR="00604B8D">
        <w:rPr>
          <w:b/>
        </w:rPr>
        <w:t xml:space="preserve">Formal </w:t>
      </w:r>
      <w:r w:rsidR="001B3995">
        <w:rPr>
          <w:b/>
        </w:rPr>
        <w:t xml:space="preserve">Public </w:t>
      </w:r>
      <w:r w:rsidR="00352FF7">
        <w:rPr>
          <w:b/>
        </w:rPr>
        <w:t>M</w:t>
      </w:r>
      <w:r w:rsidR="00604B8D" w:rsidRPr="008D1009">
        <w:rPr>
          <w:b/>
        </w:rPr>
        <w:t>eetings</w:t>
      </w:r>
      <w:r w:rsidR="00604B8D">
        <w:t xml:space="preserve"> are at</w:t>
      </w:r>
      <w:r w:rsidR="005C1539">
        <w:t>tended by the members’ designated</w:t>
      </w:r>
      <w:r w:rsidR="00604B8D">
        <w:t xml:space="preserve"> representative, appointed by the member’s governance board.  In </w:t>
      </w:r>
      <w:r w:rsidR="00352FF7">
        <w:rPr>
          <w:b/>
        </w:rPr>
        <w:t>F</w:t>
      </w:r>
      <w:r w:rsidR="00604B8D">
        <w:rPr>
          <w:b/>
        </w:rPr>
        <w:t xml:space="preserve">ormal </w:t>
      </w:r>
      <w:r w:rsidR="00352FF7">
        <w:rPr>
          <w:b/>
        </w:rPr>
        <w:t>M</w:t>
      </w:r>
      <w:r w:rsidR="008D1009">
        <w:rPr>
          <w:b/>
        </w:rPr>
        <w:t xml:space="preserve">eetings </w:t>
      </w:r>
      <w:r w:rsidR="00604B8D">
        <w:rPr>
          <w:b/>
        </w:rPr>
        <w:t xml:space="preserve">all </w:t>
      </w:r>
      <w:r w:rsidR="00352FF7">
        <w:rPr>
          <w:b/>
        </w:rPr>
        <w:t xml:space="preserve">board-selected </w:t>
      </w:r>
      <w:r w:rsidR="00604B8D">
        <w:rPr>
          <w:b/>
        </w:rPr>
        <w:t xml:space="preserve">members participate </w:t>
      </w:r>
      <w:r w:rsidR="00604B8D">
        <w:t xml:space="preserve">in the decision-making process. </w:t>
      </w:r>
      <w:r w:rsidR="00B75D5D">
        <w:t>4)</w:t>
      </w:r>
      <w:r w:rsidR="00352FF7">
        <w:t xml:space="preserve"> One week prior to Formal Meetings the Steering Committee meets with the </w:t>
      </w:r>
      <w:r w:rsidR="00BB797E">
        <w:t>Consultation</w:t>
      </w:r>
      <w:r w:rsidR="00352FF7">
        <w:t xml:space="preserve"> Council review all materials to be presented in the Formal Meeting, and consider anything else on the jointly developed meeting agenda.</w:t>
      </w:r>
    </w:p>
    <w:p w:rsidR="00F74DB6" w:rsidRDefault="00D535D0" w:rsidP="00D535D0">
      <w:pPr>
        <w:pStyle w:val="BodyTextIndent"/>
      </w:pPr>
      <w:r>
        <w:t xml:space="preserve">The Steering Committee </w:t>
      </w:r>
      <w:r w:rsidR="007B5D99">
        <w:t xml:space="preserve">may </w:t>
      </w:r>
      <w:r w:rsidR="00F36772">
        <w:t xml:space="preserve">also </w:t>
      </w:r>
      <w:r>
        <w:t xml:space="preserve">meet </w:t>
      </w:r>
      <w:r>
        <w:rPr>
          <w:b/>
        </w:rPr>
        <w:t xml:space="preserve">informally </w:t>
      </w:r>
      <w:r w:rsidR="00307200">
        <w:t xml:space="preserve">more regularly </w:t>
      </w:r>
      <w:r w:rsidR="0086276B">
        <w:t xml:space="preserve">as required to </w:t>
      </w:r>
      <w:r w:rsidR="00F74DB6">
        <w:t>monitor</w:t>
      </w:r>
      <w:r w:rsidR="0086276B">
        <w:t xml:space="preserve"> </w:t>
      </w:r>
      <w:r w:rsidR="00307200">
        <w:t xml:space="preserve">progress toward, and other </w:t>
      </w:r>
      <w:r w:rsidR="0086276B">
        <w:t>issues</w:t>
      </w:r>
      <w:r w:rsidR="007B5D99">
        <w:t xml:space="preserve"> </w:t>
      </w:r>
      <w:r w:rsidR="00307200">
        <w:t xml:space="preserve">relating to, </w:t>
      </w:r>
      <w:r w:rsidR="007B5D99">
        <w:t>the Plan’s implementation.</w:t>
      </w:r>
      <w:r w:rsidR="00F74DB6">
        <w:t xml:space="preserve">  </w:t>
      </w:r>
      <w:r w:rsidR="00F36772">
        <w:t>At informal meetings members’ alternate representatives and other crit</w:t>
      </w:r>
      <w:r w:rsidR="005C1539">
        <w:t>ical staff and stakeholders may</w:t>
      </w:r>
      <w:r w:rsidR="00F36772">
        <w:t xml:space="preserve"> attend and participate. </w:t>
      </w:r>
      <w:r w:rsidR="0086276B">
        <w:t xml:space="preserve">The </w:t>
      </w:r>
      <w:r w:rsidR="007B5D99">
        <w:t xml:space="preserve">Co-Chairs co-facilitate </w:t>
      </w:r>
      <w:r w:rsidR="0086276B">
        <w:t xml:space="preserve">the </w:t>
      </w:r>
      <w:r w:rsidR="00094427">
        <w:t>Steering Committee</w:t>
      </w:r>
      <w:r w:rsidR="00F36772">
        <w:t xml:space="preserve"> m</w:t>
      </w:r>
      <w:r w:rsidR="0086276B">
        <w:t>eeting</w:t>
      </w:r>
      <w:r w:rsidR="00F74DB6">
        <w:t>s</w:t>
      </w:r>
      <w:r w:rsidR="00F36772">
        <w:t>,</w:t>
      </w:r>
      <w:r w:rsidR="00F74DB6">
        <w:t xml:space="preserve"> with a</w:t>
      </w:r>
      <w:r w:rsidR="007B5D99">
        <w:t>gendas for all meetings</w:t>
      </w:r>
      <w:r w:rsidR="00F74DB6">
        <w:t xml:space="preserve"> posted </w:t>
      </w:r>
      <w:r w:rsidR="001B3995">
        <w:t>publicly</w:t>
      </w:r>
      <w:r w:rsidR="00F74DB6">
        <w:t xml:space="preserve"> on the SBCAE website.  The Steering Committee may </w:t>
      </w:r>
      <w:r w:rsidR="00F36772">
        <w:t xml:space="preserve">also </w:t>
      </w:r>
      <w:r w:rsidR="00F74DB6">
        <w:t xml:space="preserve">delegate some oversight responsibilities to other staff and groups, including but not limited to faculty workgroups, counselors, community-based partners, and others, all of whom may confer in </w:t>
      </w:r>
      <w:r w:rsidR="00F74DB6" w:rsidRPr="00F74DB6">
        <w:rPr>
          <w:i/>
        </w:rPr>
        <w:t>ad hoc</w:t>
      </w:r>
      <w:r w:rsidR="00F74DB6">
        <w:t xml:space="preserve"> meetings.</w:t>
      </w:r>
    </w:p>
    <w:p w:rsidR="00307200" w:rsidRPr="00307200" w:rsidRDefault="00D535D0" w:rsidP="00307200">
      <w:pPr>
        <w:pStyle w:val="BodyTextIndent"/>
        <w:numPr>
          <w:ilvl w:val="0"/>
          <w:numId w:val="14"/>
        </w:numPr>
        <w:spacing w:before="0"/>
      </w:pPr>
      <w:r w:rsidRPr="00D535D0">
        <w:rPr>
          <w:b/>
        </w:rPr>
        <w:t xml:space="preserve">Formal </w:t>
      </w:r>
      <w:r w:rsidR="00A42312">
        <w:rPr>
          <w:b/>
        </w:rPr>
        <w:t xml:space="preserve">Public </w:t>
      </w:r>
      <w:r w:rsidR="008D1009" w:rsidRPr="00FA489B">
        <w:rPr>
          <w:b/>
        </w:rPr>
        <w:t>Meetings</w:t>
      </w:r>
      <w:r w:rsidR="008D1009">
        <w:t xml:space="preserve"> </w:t>
      </w:r>
      <w:r w:rsidR="004C73BB">
        <w:t>will adhere</w:t>
      </w:r>
      <w:r>
        <w:t xml:space="preserve"> to the public process described and agreed to in this Charter.  </w:t>
      </w:r>
      <w:r w:rsidR="009512BE">
        <w:t xml:space="preserve">All members participate in all decisions regarding the Plan, the </w:t>
      </w:r>
      <w:r w:rsidR="009512BE">
        <w:rPr>
          <w:i/>
        </w:rPr>
        <w:t xml:space="preserve">annual activities </w:t>
      </w:r>
      <w:r w:rsidR="009512BE">
        <w:t xml:space="preserve">funding allocation schedule and the reception, evaluation and certification of required state deliverables </w:t>
      </w:r>
      <w:r w:rsidR="00FD28C5">
        <w:t xml:space="preserve">The </w:t>
      </w:r>
      <w:r w:rsidR="00F74DB6">
        <w:t>Steering Committee meets</w:t>
      </w:r>
      <w:r w:rsidR="004C73BB">
        <w:t xml:space="preserve"> in</w:t>
      </w:r>
      <w:r w:rsidR="00307200">
        <w:t xml:space="preserve"> </w:t>
      </w:r>
      <w:r w:rsidR="00A42312">
        <w:rPr>
          <w:b/>
        </w:rPr>
        <w:t>F</w:t>
      </w:r>
      <w:r w:rsidR="00FD28C5" w:rsidRPr="00307200">
        <w:rPr>
          <w:b/>
        </w:rPr>
        <w:t>ormal</w:t>
      </w:r>
      <w:r w:rsidR="008D1009">
        <w:rPr>
          <w:b/>
        </w:rPr>
        <w:t xml:space="preserve"> </w:t>
      </w:r>
      <w:r w:rsidR="00A42312">
        <w:rPr>
          <w:b/>
        </w:rPr>
        <w:t>Public Meeting</w:t>
      </w:r>
      <w:r w:rsidR="00A42312">
        <w:t xml:space="preserve"> </w:t>
      </w:r>
      <w:r w:rsidR="00F74DB6">
        <w:t>to</w:t>
      </w:r>
      <w:r w:rsidR="00307200">
        <w:t>:</w:t>
      </w:r>
      <w:r w:rsidR="00C87196">
        <w:t xml:space="preserve"> </w:t>
      </w:r>
      <w:r w:rsidR="00231EF8">
        <w:t xml:space="preserve">establish </w:t>
      </w:r>
      <w:r w:rsidR="00F74DB6" w:rsidRPr="00307200">
        <w:t xml:space="preserve">the </w:t>
      </w:r>
      <w:r w:rsidR="00F74DB6" w:rsidRPr="00231EF8">
        <w:rPr>
          <w:i/>
        </w:rPr>
        <w:t>annual activities’</w:t>
      </w:r>
      <w:r w:rsidR="005C1539">
        <w:t xml:space="preserve"> funding distribution</w:t>
      </w:r>
      <w:r w:rsidR="00F74DB6" w:rsidRPr="00307200">
        <w:t xml:space="preserve"> schedule, </w:t>
      </w:r>
    </w:p>
    <w:p w:rsidR="00307200" w:rsidRPr="00307200" w:rsidRDefault="00231EF8" w:rsidP="00307200">
      <w:pPr>
        <w:pStyle w:val="BodyTextIndent"/>
        <w:numPr>
          <w:ilvl w:val="0"/>
          <w:numId w:val="14"/>
        </w:numPr>
        <w:spacing w:before="0"/>
      </w:pPr>
      <w:r>
        <w:t xml:space="preserve">make </w:t>
      </w:r>
      <w:r w:rsidR="00F74DB6" w:rsidRPr="00307200">
        <w:t xml:space="preserve">amendments to the Plan or the </w:t>
      </w:r>
      <w:r w:rsidR="00F74DB6" w:rsidRPr="00231EF8">
        <w:rPr>
          <w:i/>
        </w:rPr>
        <w:t>annual activities</w:t>
      </w:r>
      <w:r w:rsidR="005C1539">
        <w:t xml:space="preserve"> and funding distribution</w:t>
      </w:r>
      <w:r w:rsidR="00F74DB6" w:rsidRPr="00307200">
        <w:t xml:space="preserve"> schedule, </w:t>
      </w:r>
    </w:p>
    <w:p w:rsidR="00307200" w:rsidRPr="00307200" w:rsidRDefault="00F74DB6" w:rsidP="00307200">
      <w:pPr>
        <w:pStyle w:val="BodyTextIndent"/>
        <w:numPr>
          <w:ilvl w:val="0"/>
          <w:numId w:val="14"/>
        </w:numPr>
        <w:spacing w:before="0"/>
      </w:pPr>
      <w:r w:rsidRPr="00307200">
        <w:t xml:space="preserve">receive formal reports on </w:t>
      </w:r>
      <w:r w:rsidR="00231EF8">
        <w:t>implementation in order</w:t>
      </w:r>
      <w:r w:rsidRPr="00307200">
        <w:t xml:space="preserve"> to review and certify the deliverables </w:t>
      </w:r>
      <w:r w:rsidR="005C1539">
        <w:t>as required by the state.</w:t>
      </w:r>
      <w:r w:rsidRPr="00307200">
        <w:t xml:space="preserve"> </w:t>
      </w:r>
    </w:p>
    <w:p w:rsidR="00136A6C" w:rsidRPr="00307200" w:rsidRDefault="00136A6C" w:rsidP="00F74DB6">
      <w:pPr>
        <w:pStyle w:val="BodyTextIndent"/>
      </w:pPr>
      <w:r>
        <w:t xml:space="preserve">For these </w:t>
      </w:r>
      <w:r w:rsidR="00A42312">
        <w:t>F</w:t>
      </w:r>
      <w:r w:rsidR="009512BE" w:rsidRPr="009512BE">
        <w:rPr>
          <w:b/>
        </w:rPr>
        <w:t>ormal</w:t>
      </w:r>
      <w:r w:rsidR="009512BE" w:rsidRPr="008D1009">
        <w:rPr>
          <w:b/>
        </w:rPr>
        <w:t xml:space="preserve"> </w:t>
      </w:r>
      <w:r w:rsidR="00A42312">
        <w:rPr>
          <w:b/>
        </w:rPr>
        <w:t>Public M</w:t>
      </w:r>
      <w:r w:rsidRPr="008D1009">
        <w:rPr>
          <w:b/>
        </w:rPr>
        <w:t>eetings</w:t>
      </w:r>
      <w:r>
        <w:t xml:space="preserve"> the </w:t>
      </w:r>
      <w:r w:rsidR="00231EF8">
        <w:t xml:space="preserve">date, time and place, the </w:t>
      </w:r>
      <w:r>
        <w:t xml:space="preserve">agendas and supporting documents will be posted on the SBCAE website no later than one week before the meeting date.  Meeting agendas </w:t>
      </w:r>
      <w:r w:rsidR="00231EF8">
        <w:t xml:space="preserve">and supporting documents </w:t>
      </w:r>
      <w:r>
        <w:t xml:space="preserve">will be disseminated to all interested parties with the explicit intention of eliciting public comment.  Public comment will be requested </w:t>
      </w:r>
      <w:r w:rsidR="00FD28C5">
        <w:t xml:space="preserve">directly </w:t>
      </w:r>
      <w:r>
        <w:t>from the essential community-base</w:t>
      </w:r>
      <w:r w:rsidR="00307200">
        <w:t>d</w:t>
      </w:r>
      <w:r>
        <w:t xml:space="preserve"> partners, and other cr</w:t>
      </w:r>
      <w:r w:rsidR="00231EF8">
        <w:t>itical stakeholders including but</w:t>
      </w:r>
      <w:r>
        <w:t xml:space="preserve"> not limited to the faculties of the consortium members.   In these </w:t>
      </w:r>
      <w:r w:rsidR="00A42312">
        <w:rPr>
          <w:b/>
        </w:rPr>
        <w:t>F</w:t>
      </w:r>
      <w:r w:rsidRPr="009512BE">
        <w:rPr>
          <w:b/>
        </w:rPr>
        <w:t>ormal</w:t>
      </w:r>
      <w:r w:rsidR="00A42312">
        <w:rPr>
          <w:b/>
        </w:rPr>
        <w:t xml:space="preserve"> Public</w:t>
      </w:r>
      <w:r w:rsidR="009512BE" w:rsidRPr="009512BE">
        <w:rPr>
          <w:b/>
        </w:rPr>
        <w:t xml:space="preserve"> </w:t>
      </w:r>
      <w:r w:rsidR="00A42312">
        <w:rPr>
          <w:b/>
        </w:rPr>
        <w:t>M</w:t>
      </w:r>
      <w:r w:rsidRPr="008D1009">
        <w:rPr>
          <w:b/>
        </w:rPr>
        <w:t xml:space="preserve">eetings </w:t>
      </w:r>
      <w:r>
        <w:t xml:space="preserve">the Steering Committee </w:t>
      </w:r>
      <w:r w:rsidR="0086276B">
        <w:t xml:space="preserve">will follow </w:t>
      </w:r>
      <w:r w:rsidR="00A63C38">
        <w:t xml:space="preserve">public meeting protocols </w:t>
      </w:r>
      <w:r w:rsidR="0086276B">
        <w:t xml:space="preserve">in the conduct of meetings, motions, </w:t>
      </w:r>
      <w:r>
        <w:t>and discussion</w:t>
      </w:r>
      <w:r w:rsidR="0086276B">
        <w:t>.</w:t>
      </w:r>
      <w:r w:rsidR="00307200">
        <w:t xml:space="preserve">  In these</w:t>
      </w:r>
      <w:r w:rsidR="00307200">
        <w:rPr>
          <w:b/>
        </w:rPr>
        <w:t xml:space="preserve"> </w:t>
      </w:r>
      <w:r w:rsidR="00A42312">
        <w:rPr>
          <w:b/>
        </w:rPr>
        <w:t>F</w:t>
      </w:r>
      <w:r w:rsidR="00307200">
        <w:rPr>
          <w:b/>
        </w:rPr>
        <w:t xml:space="preserve">ormal </w:t>
      </w:r>
      <w:r w:rsidR="00A42312">
        <w:rPr>
          <w:b/>
        </w:rPr>
        <w:t>Public M</w:t>
      </w:r>
      <w:r w:rsidR="000E6D00">
        <w:rPr>
          <w:b/>
        </w:rPr>
        <w:t>eetings</w:t>
      </w:r>
      <w:r w:rsidR="000E6D00">
        <w:t xml:space="preserve"> </w:t>
      </w:r>
      <w:r w:rsidR="00307200">
        <w:t>public comment, written</w:t>
      </w:r>
      <w:r w:rsidR="009512BE">
        <w:t xml:space="preserve"> in advance</w:t>
      </w:r>
      <w:r w:rsidR="00307200">
        <w:t xml:space="preserve"> or </w:t>
      </w:r>
      <w:r w:rsidR="009512BE">
        <w:t xml:space="preserve">received </w:t>
      </w:r>
      <w:r w:rsidR="00307200">
        <w:t xml:space="preserve">in person, will be sought and </w:t>
      </w:r>
      <w:r w:rsidR="00EF22B8">
        <w:t>carefully reviewed</w:t>
      </w:r>
      <w:r w:rsidR="00307200">
        <w:t>.</w:t>
      </w:r>
    </w:p>
    <w:p w:rsidR="00C23A04" w:rsidRDefault="00136A6C" w:rsidP="00F74DB6">
      <w:pPr>
        <w:pStyle w:val="BodyTextIndent"/>
      </w:pPr>
      <w:r>
        <w:t xml:space="preserve">All Steering Committee members commit to continue the </w:t>
      </w:r>
      <w:r w:rsidRPr="00307200">
        <w:rPr>
          <w:b/>
        </w:rPr>
        <w:t>model of decision making</w:t>
      </w:r>
      <w:r>
        <w:t xml:space="preserve"> and negotiation that has been used through the AB86 process that produced the Plan.  </w:t>
      </w:r>
      <w:r w:rsidRPr="00231EF8">
        <w:rPr>
          <w:b/>
        </w:rPr>
        <w:t>Decision making is through consensus</w:t>
      </w:r>
      <w:r>
        <w:t>.  Discussion of issues continue</w:t>
      </w:r>
      <w:r w:rsidR="00EF22B8">
        <w:t>s</w:t>
      </w:r>
      <w:r>
        <w:t xml:space="preserve"> until </w:t>
      </w:r>
      <w:r w:rsidR="00FD28C5">
        <w:rPr>
          <w:i/>
        </w:rPr>
        <w:t>al</w:t>
      </w:r>
      <w:r>
        <w:rPr>
          <w:i/>
        </w:rPr>
        <w:t>I m</w:t>
      </w:r>
      <w:r w:rsidR="00307200">
        <w:rPr>
          <w:i/>
        </w:rPr>
        <w:t>embers</w:t>
      </w:r>
      <w:r w:rsidR="00307200">
        <w:t xml:space="preserve"> are able to accept the decision.  If, for any r</w:t>
      </w:r>
      <w:r w:rsidR="00C23A04">
        <w:t>eason, consensus is not reached:</w:t>
      </w:r>
      <w:r w:rsidR="00307200">
        <w:t xml:space="preserve"> </w:t>
      </w:r>
    </w:p>
    <w:p w:rsidR="00EF22B8" w:rsidRDefault="00EF22B8" w:rsidP="00F74DB6">
      <w:pPr>
        <w:pStyle w:val="BodyTextIndent"/>
      </w:pPr>
    </w:p>
    <w:p w:rsidR="00C23A04" w:rsidRDefault="001C7431" w:rsidP="00C23A04">
      <w:pPr>
        <w:pStyle w:val="BodyTextIndent"/>
        <w:numPr>
          <w:ilvl w:val="0"/>
          <w:numId w:val="16"/>
        </w:numPr>
        <w:spacing w:before="0"/>
      </w:pPr>
      <w:r>
        <w:t xml:space="preserve">The Co-Chairs from each system </w:t>
      </w:r>
      <w:r w:rsidR="00231EF8">
        <w:t xml:space="preserve">(K-12 adult schools and the community colleges districts) </w:t>
      </w:r>
      <w:r>
        <w:t xml:space="preserve">will be </w:t>
      </w:r>
      <w:r w:rsidR="00231EF8">
        <w:t>charge</w:t>
      </w:r>
      <w:r>
        <w:t>d</w:t>
      </w:r>
      <w:r w:rsidR="00231EF8">
        <w:t xml:space="preserve"> to negotiate a solution.  </w:t>
      </w:r>
    </w:p>
    <w:p w:rsidR="0086276B" w:rsidRDefault="00231EF8" w:rsidP="00C23A04">
      <w:pPr>
        <w:pStyle w:val="BodyTextIndent"/>
        <w:numPr>
          <w:ilvl w:val="0"/>
          <w:numId w:val="16"/>
        </w:numPr>
        <w:spacing w:before="0"/>
      </w:pPr>
      <w:r>
        <w:t xml:space="preserve">The two </w:t>
      </w:r>
      <w:r w:rsidR="001C7431">
        <w:t>Co-Chairs</w:t>
      </w:r>
      <w:r>
        <w:t xml:space="preserve"> will bring back resolution to the Steering Committee for consensus.  </w:t>
      </w:r>
    </w:p>
    <w:p w:rsidR="00C23A04" w:rsidRDefault="00C23A04" w:rsidP="00C23A04">
      <w:pPr>
        <w:pStyle w:val="BodyTextIndent"/>
        <w:numPr>
          <w:ilvl w:val="0"/>
          <w:numId w:val="16"/>
        </w:numPr>
        <w:spacing w:before="0"/>
      </w:pPr>
      <w:r>
        <w:t>If there is still no consensus, one senior leadership representative</w:t>
      </w:r>
      <w:r w:rsidR="00671F33">
        <w:t xml:space="preserve"> from each system</w:t>
      </w:r>
      <w:r>
        <w:t xml:space="preserve"> (Superintendent and Chancellor) will negotiate a decision.</w:t>
      </w:r>
    </w:p>
    <w:p w:rsidR="00C23A04" w:rsidRPr="00307200" w:rsidRDefault="00C23A04" w:rsidP="00C23A04">
      <w:pPr>
        <w:pStyle w:val="BodyTextIndent"/>
        <w:numPr>
          <w:ilvl w:val="0"/>
          <w:numId w:val="16"/>
        </w:numPr>
        <w:spacing w:before="0"/>
      </w:pPr>
      <w:r>
        <w:t>The Steering Committee will accept the resolution from the senior leadership.</w:t>
      </w:r>
    </w:p>
    <w:p w:rsidR="00BB797E" w:rsidRDefault="00BB797E" w:rsidP="00BB797E">
      <w:pPr>
        <w:pStyle w:val="BodyTextIndent"/>
        <w:ind w:left="0"/>
        <w:rPr>
          <w:sz w:val="16"/>
          <w:szCs w:val="16"/>
        </w:rPr>
      </w:pPr>
    </w:p>
    <w:p w:rsidR="00C42925" w:rsidRDefault="00C42925" w:rsidP="00BB797E">
      <w:pPr>
        <w:pStyle w:val="BodyTextIndent"/>
        <w:ind w:left="0"/>
        <w:rPr>
          <w:sz w:val="16"/>
          <w:szCs w:val="16"/>
        </w:rPr>
      </w:pPr>
    </w:p>
    <w:p w:rsidR="00BB797E" w:rsidRPr="00765142" w:rsidRDefault="00765142" w:rsidP="00BB797E">
      <w:pPr>
        <w:pStyle w:val="BodyTextIndent"/>
        <w:rPr>
          <w:sz w:val="16"/>
          <w:szCs w:val="16"/>
        </w:rPr>
      </w:pPr>
      <w:r w:rsidRPr="00765142">
        <w:rPr>
          <w:sz w:val="16"/>
          <w:szCs w:val="16"/>
        </w:rPr>
        <w:fldChar w:fldCharType="begin"/>
      </w:r>
      <w:r w:rsidRPr="00765142">
        <w:rPr>
          <w:sz w:val="16"/>
          <w:szCs w:val="16"/>
        </w:rPr>
        <w:instrText xml:space="preserve"> FILENAME  \* Lower \p  \* MERGEFORMAT </w:instrText>
      </w:r>
      <w:r w:rsidRPr="00765142">
        <w:rPr>
          <w:sz w:val="16"/>
          <w:szCs w:val="16"/>
        </w:rPr>
        <w:fldChar w:fldCharType="separate"/>
      </w:r>
      <w:r w:rsidRPr="00765142">
        <w:rPr>
          <w:noProof/>
          <w:sz w:val="16"/>
          <w:szCs w:val="16"/>
        </w:rPr>
        <w:t>v:\adult education\ab104 (7-1-15)\annual plan 2017-18\charter 2017-18\sbcae steering committee charter amended 6-22-17, draft.docx</w:t>
      </w:r>
      <w:r w:rsidRPr="00765142">
        <w:rPr>
          <w:sz w:val="16"/>
          <w:szCs w:val="16"/>
        </w:rPr>
        <w:fldChar w:fldCharType="end"/>
      </w:r>
    </w:p>
    <w:sectPr w:rsidR="00BB797E" w:rsidRPr="00765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E9" w:rsidRDefault="00D517E9" w:rsidP="009C1C6A">
      <w:r>
        <w:separator/>
      </w:r>
    </w:p>
  </w:endnote>
  <w:endnote w:type="continuationSeparator" w:id="0">
    <w:p w:rsidR="00D517E9" w:rsidRDefault="00D517E9" w:rsidP="009C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1" w:rsidRDefault="00BD3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2B8" w:rsidRDefault="00EF2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526" w:rsidRDefault="00661526">
    <w:pPr>
      <w:pStyle w:val="Footer"/>
      <w:tabs>
        <w:tab w:val="clear" w:pos="8640"/>
        <w:tab w:val="right" w:pos="10260"/>
      </w:tabs>
      <w:spacing w:before="60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1" w:rsidRDefault="00BD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E9" w:rsidRDefault="00D517E9" w:rsidP="009C1C6A">
      <w:r>
        <w:separator/>
      </w:r>
    </w:p>
  </w:footnote>
  <w:footnote w:type="continuationSeparator" w:id="0">
    <w:p w:rsidR="00D517E9" w:rsidRDefault="00D517E9" w:rsidP="009C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1" w:rsidRDefault="00BD3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6" w:rsidRDefault="00661526" w:rsidP="001538DF">
    <w:pPr>
      <w:pStyle w:val="Header"/>
      <w:tabs>
        <w:tab w:val="clear" w:pos="4320"/>
        <w:tab w:val="clear" w:pos="8640"/>
        <w:tab w:val="left" w:pos="2160"/>
        <w:tab w:val="left" w:pos="6480"/>
        <w:tab w:val="right" w:pos="91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South Bay Consortium for Adult Education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   Steering Committee Charter</w:t>
    </w:r>
  </w:p>
  <w:p w:rsidR="00661526" w:rsidRPr="001538DF" w:rsidRDefault="00661526" w:rsidP="001538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51" w:rsidRDefault="00BD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B8892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54682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5F826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184C9E"/>
    <w:multiLevelType w:val="hybridMultilevel"/>
    <w:tmpl w:val="02B057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4389"/>
    <w:multiLevelType w:val="hybridMultilevel"/>
    <w:tmpl w:val="0A4C4EF0"/>
    <w:lvl w:ilvl="0" w:tplc="A2D0A38C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6D5461"/>
    <w:multiLevelType w:val="hybridMultilevel"/>
    <w:tmpl w:val="9B988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3707B"/>
    <w:multiLevelType w:val="hybridMultilevel"/>
    <w:tmpl w:val="DA70A008"/>
    <w:lvl w:ilvl="0" w:tplc="F9D026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5595CC1"/>
    <w:multiLevelType w:val="hybridMultilevel"/>
    <w:tmpl w:val="6A46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75EB1"/>
    <w:multiLevelType w:val="hybridMultilevel"/>
    <w:tmpl w:val="0114D37A"/>
    <w:lvl w:ilvl="0" w:tplc="0510996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7E38C0"/>
    <w:multiLevelType w:val="hybridMultilevel"/>
    <w:tmpl w:val="A186F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572479"/>
    <w:multiLevelType w:val="hybridMultilevel"/>
    <w:tmpl w:val="F8FEE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94448D"/>
    <w:multiLevelType w:val="hybridMultilevel"/>
    <w:tmpl w:val="F06600F2"/>
    <w:lvl w:ilvl="0" w:tplc="E4A29766">
      <w:start w:val="1"/>
      <w:numFmt w:val="upperLetter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24CC8"/>
    <w:multiLevelType w:val="hybridMultilevel"/>
    <w:tmpl w:val="BF047CF2"/>
    <w:lvl w:ilvl="0" w:tplc="E00A7856">
      <w:start w:val="1"/>
      <w:numFmt w:val="upperLetter"/>
      <w:pStyle w:val="ListAlpha1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25C7FBD"/>
    <w:multiLevelType w:val="hybridMultilevel"/>
    <w:tmpl w:val="7C184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681B7C"/>
    <w:multiLevelType w:val="hybridMultilevel"/>
    <w:tmpl w:val="26588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E80448"/>
    <w:multiLevelType w:val="hybridMultilevel"/>
    <w:tmpl w:val="C400E7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CD5C7E"/>
    <w:multiLevelType w:val="hybridMultilevel"/>
    <w:tmpl w:val="45647EFA"/>
    <w:lvl w:ilvl="0" w:tplc="C81C72DC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3"/>
  </w:num>
  <w:num w:numId="17">
    <w:abstractNumId w:val="14"/>
  </w:num>
  <w:num w:numId="18">
    <w:abstractNumId w:val="13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6B"/>
    <w:rsid w:val="00020066"/>
    <w:rsid w:val="00037FF5"/>
    <w:rsid w:val="00054942"/>
    <w:rsid w:val="0007199E"/>
    <w:rsid w:val="00077AA1"/>
    <w:rsid w:val="00093DAB"/>
    <w:rsid w:val="00094427"/>
    <w:rsid w:val="000E6D00"/>
    <w:rsid w:val="000F2B81"/>
    <w:rsid w:val="000F374E"/>
    <w:rsid w:val="00102928"/>
    <w:rsid w:val="00111B7F"/>
    <w:rsid w:val="0012417C"/>
    <w:rsid w:val="00136A6C"/>
    <w:rsid w:val="00142F0E"/>
    <w:rsid w:val="001436EB"/>
    <w:rsid w:val="001538DF"/>
    <w:rsid w:val="001747DB"/>
    <w:rsid w:val="001B3995"/>
    <w:rsid w:val="001C7431"/>
    <w:rsid w:val="001D0557"/>
    <w:rsid w:val="001D3F3E"/>
    <w:rsid w:val="001D737E"/>
    <w:rsid w:val="00227E08"/>
    <w:rsid w:val="00231C7E"/>
    <w:rsid w:val="00231EF8"/>
    <w:rsid w:val="0023637D"/>
    <w:rsid w:val="00247CD4"/>
    <w:rsid w:val="0027348A"/>
    <w:rsid w:val="002875FA"/>
    <w:rsid w:val="002D0E1B"/>
    <w:rsid w:val="002E73A3"/>
    <w:rsid w:val="00307200"/>
    <w:rsid w:val="00333F47"/>
    <w:rsid w:val="00351AAB"/>
    <w:rsid w:val="00352FF7"/>
    <w:rsid w:val="003573E2"/>
    <w:rsid w:val="003600D4"/>
    <w:rsid w:val="00362E27"/>
    <w:rsid w:val="00363696"/>
    <w:rsid w:val="00377767"/>
    <w:rsid w:val="00377BDB"/>
    <w:rsid w:val="0039413A"/>
    <w:rsid w:val="003F6E2F"/>
    <w:rsid w:val="004042D6"/>
    <w:rsid w:val="004061A9"/>
    <w:rsid w:val="00424B45"/>
    <w:rsid w:val="004255C8"/>
    <w:rsid w:val="00447EA3"/>
    <w:rsid w:val="00476959"/>
    <w:rsid w:val="00497087"/>
    <w:rsid w:val="004A19E9"/>
    <w:rsid w:val="004A1E1E"/>
    <w:rsid w:val="004C73BB"/>
    <w:rsid w:val="005332BA"/>
    <w:rsid w:val="00533AB8"/>
    <w:rsid w:val="0054048B"/>
    <w:rsid w:val="00547557"/>
    <w:rsid w:val="0055085A"/>
    <w:rsid w:val="00574FEE"/>
    <w:rsid w:val="00585A76"/>
    <w:rsid w:val="005919A5"/>
    <w:rsid w:val="005C1539"/>
    <w:rsid w:val="005F718B"/>
    <w:rsid w:val="00604B8D"/>
    <w:rsid w:val="006545F4"/>
    <w:rsid w:val="00654659"/>
    <w:rsid w:val="00661526"/>
    <w:rsid w:val="0067185D"/>
    <w:rsid w:val="00671F33"/>
    <w:rsid w:val="006852ED"/>
    <w:rsid w:val="00694D27"/>
    <w:rsid w:val="006A0774"/>
    <w:rsid w:val="00705B88"/>
    <w:rsid w:val="00714999"/>
    <w:rsid w:val="0072001E"/>
    <w:rsid w:val="00730AE5"/>
    <w:rsid w:val="00747E27"/>
    <w:rsid w:val="00765142"/>
    <w:rsid w:val="00765A9B"/>
    <w:rsid w:val="00795770"/>
    <w:rsid w:val="007B5D99"/>
    <w:rsid w:val="007F497A"/>
    <w:rsid w:val="00810F44"/>
    <w:rsid w:val="00845415"/>
    <w:rsid w:val="00851B52"/>
    <w:rsid w:val="0086276B"/>
    <w:rsid w:val="00874D84"/>
    <w:rsid w:val="008A2155"/>
    <w:rsid w:val="008D1009"/>
    <w:rsid w:val="008D1227"/>
    <w:rsid w:val="0090054E"/>
    <w:rsid w:val="00900EB8"/>
    <w:rsid w:val="00920700"/>
    <w:rsid w:val="00950BE8"/>
    <w:rsid w:val="009512BE"/>
    <w:rsid w:val="00957D42"/>
    <w:rsid w:val="00983879"/>
    <w:rsid w:val="009A0BF8"/>
    <w:rsid w:val="009A4AC5"/>
    <w:rsid w:val="009C1C6A"/>
    <w:rsid w:val="009C4477"/>
    <w:rsid w:val="009D1F0E"/>
    <w:rsid w:val="009D3217"/>
    <w:rsid w:val="00A00A88"/>
    <w:rsid w:val="00A3519B"/>
    <w:rsid w:val="00A42312"/>
    <w:rsid w:val="00A524CA"/>
    <w:rsid w:val="00A54B3F"/>
    <w:rsid w:val="00A63C38"/>
    <w:rsid w:val="00AB751D"/>
    <w:rsid w:val="00AD3B82"/>
    <w:rsid w:val="00B06CA7"/>
    <w:rsid w:val="00B10FAA"/>
    <w:rsid w:val="00B54E9B"/>
    <w:rsid w:val="00B669A9"/>
    <w:rsid w:val="00B75D5D"/>
    <w:rsid w:val="00BB3506"/>
    <w:rsid w:val="00BB797E"/>
    <w:rsid w:val="00BC16CB"/>
    <w:rsid w:val="00BC27FA"/>
    <w:rsid w:val="00BD3051"/>
    <w:rsid w:val="00BE40FB"/>
    <w:rsid w:val="00C15789"/>
    <w:rsid w:val="00C23A04"/>
    <w:rsid w:val="00C32BC3"/>
    <w:rsid w:val="00C42925"/>
    <w:rsid w:val="00C62F94"/>
    <w:rsid w:val="00C87196"/>
    <w:rsid w:val="00CE6342"/>
    <w:rsid w:val="00CF09F3"/>
    <w:rsid w:val="00D36B52"/>
    <w:rsid w:val="00D517E9"/>
    <w:rsid w:val="00D535D0"/>
    <w:rsid w:val="00D626EC"/>
    <w:rsid w:val="00D66137"/>
    <w:rsid w:val="00D81A73"/>
    <w:rsid w:val="00DD26C5"/>
    <w:rsid w:val="00DD6AA9"/>
    <w:rsid w:val="00DF3BC0"/>
    <w:rsid w:val="00E20CA2"/>
    <w:rsid w:val="00E32D58"/>
    <w:rsid w:val="00E421BA"/>
    <w:rsid w:val="00E7377B"/>
    <w:rsid w:val="00E8289C"/>
    <w:rsid w:val="00ED0AC2"/>
    <w:rsid w:val="00EF22B8"/>
    <w:rsid w:val="00F041DC"/>
    <w:rsid w:val="00F27262"/>
    <w:rsid w:val="00F36772"/>
    <w:rsid w:val="00F74DB6"/>
    <w:rsid w:val="00F87B21"/>
    <w:rsid w:val="00FA489B"/>
    <w:rsid w:val="00FD28C5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280"/>
      </w:tabs>
      <w:spacing w:before="120" w:after="120"/>
      <w:ind w:left="36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Times" w:eastAsia="Times" w:hAnsi="Times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right" w:pos="2790"/>
      </w:tabs>
      <w:autoSpaceDE w:val="0"/>
      <w:autoSpaceDN w:val="0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3"/>
      </w:numPr>
      <w:spacing w:before="120"/>
    </w:pPr>
    <w:rPr>
      <w:rFonts w:ascii="Arial" w:eastAsia="Times" w:hAnsi="Arial"/>
      <w:sz w:val="20"/>
    </w:rPr>
  </w:style>
  <w:style w:type="paragraph" w:styleId="ListBullet3">
    <w:name w:val="List Bullet 3"/>
    <w:basedOn w:val="Normal"/>
    <w:autoRedefine/>
    <w:pPr>
      <w:numPr>
        <w:numId w:val="1"/>
      </w:numPr>
      <w:tabs>
        <w:tab w:val="clear" w:pos="1080"/>
        <w:tab w:val="num" w:pos="1800"/>
      </w:tabs>
      <w:spacing w:before="180"/>
      <w:ind w:left="1800"/>
    </w:pPr>
    <w:rPr>
      <w:rFonts w:ascii="Arial" w:eastAsia="Times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</w:rPr>
  </w:style>
  <w:style w:type="paragraph" w:styleId="Subtitle">
    <w:name w:val="Subtitle"/>
    <w:basedOn w:val="Normal"/>
    <w:qFormat/>
    <w:pPr>
      <w:spacing w:before="120"/>
    </w:pPr>
    <w:rPr>
      <w:rFonts w:ascii="Times" w:eastAsia="Times" w:hAnsi="Times"/>
      <w:sz w:val="28"/>
    </w:rPr>
  </w:style>
  <w:style w:type="paragraph" w:styleId="BodyText">
    <w:name w:val="Body Text"/>
    <w:basedOn w:val="Normal"/>
    <w:pPr>
      <w:spacing w:before="120"/>
    </w:pPr>
    <w:rPr>
      <w:rFonts w:ascii="Times" w:eastAsia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Arial" w:hAnsi="Arial"/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clear" w:pos="360"/>
        <w:tab w:val="num" w:pos="1080"/>
      </w:tabs>
      <w:spacing w:before="120"/>
      <w:ind w:left="1080"/>
    </w:pPr>
    <w:rPr>
      <w:rFonts w:ascii="Arial" w:hAnsi="Arial" w:cs="Arial"/>
      <w:sz w:val="20"/>
    </w:rPr>
  </w:style>
  <w:style w:type="paragraph" w:customStyle="1" w:styleId="ListAlpha1">
    <w:name w:val="List Alpha 1"/>
    <w:basedOn w:val="ListNumber"/>
    <w:pPr>
      <w:numPr>
        <w:numId w:val="4"/>
      </w:numPr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Cs w:val="24"/>
    </w:rPr>
  </w:style>
  <w:style w:type="paragraph" w:styleId="ListBullet2">
    <w:name w:val="List Bullet 2"/>
    <w:basedOn w:val="Normal"/>
    <w:autoRedefine/>
    <w:pPr>
      <w:numPr>
        <w:numId w:val="6"/>
      </w:numPr>
      <w:spacing w:before="120"/>
    </w:p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cs="Times New Roman"/>
      <w:spacing w:val="-10"/>
      <w:kern w:val="28"/>
      <w:position w:val="6"/>
    </w:rPr>
  </w:style>
  <w:style w:type="paragraph" w:styleId="List4">
    <w:name w:val="List 4"/>
    <w:basedOn w:val="Normal"/>
    <w:pPr>
      <w:ind w:left="1440" w:hanging="360"/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customStyle="1" w:styleId="Subheads">
    <w:name w:val="Subheads"/>
    <w:basedOn w:val="Normal"/>
    <w:pPr>
      <w:spacing w:after="60"/>
      <w:jc w:val="both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942"/>
    <w:pPr>
      <w:ind w:left="720"/>
      <w:contextualSpacing/>
    </w:pPr>
  </w:style>
  <w:style w:type="paragraph" w:styleId="Revision">
    <w:name w:val="Revision"/>
    <w:hidden/>
    <w:uiPriority w:val="99"/>
    <w:semiHidden/>
    <w:rsid w:val="00BC27FA"/>
    <w:rPr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75D5D"/>
    <w:rPr>
      <w:rFonts w:ascii="Arial" w:hAnsi="Arial" w:cs="Arial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280"/>
      </w:tabs>
      <w:spacing w:before="120" w:after="120"/>
      <w:ind w:left="36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Times" w:eastAsia="Times" w:hAnsi="Times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right" w:pos="2790"/>
      </w:tabs>
      <w:autoSpaceDE w:val="0"/>
      <w:autoSpaceDN w:val="0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3"/>
      </w:numPr>
      <w:spacing w:before="120"/>
    </w:pPr>
    <w:rPr>
      <w:rFonts w:ascii="Arial" w:eastAsia="Times" w:hAnsi="Arial"/>
      <w:sz w:val="20"/>
    </w:rPr>
  </w:style>
  <w:style w:type="paragraph" w:styleId="ListBullet3">
    <w:name w:val="List Bullet 3"/>
    <w:basedOn w:val="Normal"/>
    <w:autoRedefine/>
    <w:pPr>
      <w:numPr>
        <w:numId w:val="1"/>
      </w:numPr>
      <w:tabs>
        <w:tab w:val="clear" w:pos="1080"/>
        <w:tab w:val="num" w:pos="1800"/>
      </w:tabs>
      <w:spacing w:before="180"/>
      <w:ind w:left="1800"/>
    </w:pPr>
    <w:rPr>
      <w:rFonts w:ascii="Arial" w:eastAsia="Times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</w:rPr>
  </w:style>
  <w:style w:type="paragraph" w:styleId="Subtitle">
    <w:name w:val="Subtitle"/>
    <w:basedOn w:val="Normal"/>
    <w:qFormat/>
    <w:pPr>
      <w:spacing w:before="120"/>
    </w:pPr>
    <w:rPr>
      <w:rFonts w:ascii="Times" w:eastAsia="Times" w:hAnsi="Times"/>
      <w:sz w:val="28"/>
    </w:rPr>
  </w:style>
  <w:style w:type="paragraph" w:styleId="BodyText">
    <w:name w:val="Body Text"/>
    <w:basedOn w:val="Normal"/>
    <w:pPr>
      <w:spacing w:before="120"/>
    </w:pPr>
    <w:rPr>
      <w:rFonts w:ascii="Times" w:eastAsia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Arial" w:hAnsi="Arial"/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clear" w:pos="360"/>
        <w:tab w:val="num" w:pos="1080"/>
      </w:tabs>
      <w:spacing w:before="120"/>
      <w:ind w:left="1080"/>
    </w:pPr>
    <w:rPr>
      <w:rFonts w:ascii="Arial" w:hAnsi="Arial" w:cs="Arial"/>
      <w:sz w:val="20"/>
    </w:rPr>
  </w:style>
  <w:style w:type="paragraph" w:customStyle="1" w:styleId="ListAlpha1">
    <w:name w:val="List Alpha 1"/>
    <w:basedOn w:val="ListNumber"/>
    <w:pPr>
      <w:numPr>
        <w:numId w:val="4"/>
      </w:numPr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Cs w:val="24"/>
    </w:rPr>
  </w:style>
  <w:style w:type="paragraph" w:styleId="ListBullet2">
    <w:name w:val="List Bullet 2"/>
    <w:basedOn w:val="Normal"/>
    <w:autoRedefine/>
    <w:pPr>
      <w:numPr>
        <w:numId w:val="6"/>
      </w:numPr>
      <w:spacing w:before="120"/>
    </w:p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paragraph" w:customStyle="1" w:styleId="SectionHeading">
    <w:name w:val="Section Heading"/>
    <w:basedOn w:val="Heading1"/>
    <w:pPr>
      <w:keepLines/>
      <w:numPr>
        <w:numId w:val="0"/>
      </w:numPr>
      <w:shd w:val="pct15" w:color="auto" w:fill="auto"/>
      <w:spacing w:before="220" w:after="220" w:line="280" w:lineRule="atLeast"/>
      <w:ind w:firstLine="1080"/>
    </w:pPr>
    <w:rPr>
      <w:rFonts w:cs="Times New Roman"/>
      <w:spacing w:val="-10"/>
      <w:kern w:val="28"/>
      <w:position w:val="6"/>
    </w:rPr>
  </w:style>
  <w:style w:type="paragraph" w:styleId="List4">
    <w:name w:val="List 4"/>
    <w:basedOn w:val="Normal"/>
    <w:pPr>
      <w:ind w:left="1440" w:hanging="360"/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customStyle="1" w:styleId="Subheads">
    <w:name w:val="Subheads"/>
    <w:basedOn w:val="Normal"/>
    <w:pPr>
      <w:spacing w:after="60"/>
      <w:jc w:val="both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942"/>
    <w:pPr>
      <w:ind w:left="720"/>
      <w:contextualSpacing/>
    </w:pPr>
  </w:style>
  <w:style w:type="paragraph" w:styleId="Revision">
    <w:name w:val="Revision"/>
    <w:hidden/>
    <w:uiPriority w:val="99"/>
    <w:semiHidden/>
    <w:rsid w:val="00BC27FA"/>
    <w:rPr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75D5D"/>
    <w:rPr>
      <w:rFonts w:ascii="Arial" w:hAnsi="Arial" w:cs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jectmanagement.tas.gov.au/f_shee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D504-B75B-4E2F-B126-1F5F6D72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Charter Template</vt:lpstr>
    </vt:vector>
  </TitlesOfParts>
  <Company>State of Minnesota</Company>
  <LinksUpToDate>false</LinksUpToDate>
  <CharactersWithSpaces>14511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http://www.projectmanagement.tas.gov.au/f_sheets/</vt:lpwstr>
      </vt:variant>
      <vt:variant>
        <vt:lpwstr>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Charter Template</dc:title>
  <dc:creator>Enterprise Project Management Office</dc:creator>
  <dc:description>Contact Information:_x000d_
Enterprise Project Management Office_x000d_
651-215-3878</dc:description>
  <cp:lastModifiedBy>Owner</cp:lastModifiedBy>
  <cp:revision>2</cp:revision>
  <cp:lastPrinted>2017-07-14T00:23:00Z</cp:lastPrinted>
  <dcterms:created xsi:type="dcterms:W3CDTF">2017-07-24T16:21:00Z</dcterms:created>
  <dcterms:modified xsi:type="dcterms:W3CDTF">2017-07-24T16:21:00Z</dcterms:modified>
</cp:coreProperties>
</file>